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15375B03"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83546B">
        <w:t>10</w:t>
      </w:r>
      <w:r w:rsidR="000237A3">
        <w:t>4</w:t>
      </w:r>
      <w:r w:rsidR="0083546B">
        <w:t>-e</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0237A3">
        <w:rPr>
          <w:sz w:val="32"/>
          <w:szCs w:val="32"/>
        </w:rPr>
        <w:t>21</w:t>
      </w:r>
      <w:r w:rsidR="00750160" w:rsidRPr="00750160">
        <w:rPr>
          <w:sz w:val="32"/>
          <w:szCs w:val="32"/>
        </w:rPr>
        <w:t>01306</w:t>
      </w:r>
    </w:p>
    <w:p w14:paraId="0CE7B7E6" w14:textId="728D0B78" w:rsidR="00E90E49" w:rsidRPr="00CE0424" w:rsidRDefault="0083546B" w:rsidP="00311702">
      <w:pPr>
        <w:pStyle w:val="3GPPHeader"/>
      </w:pPr>
      <w:r>
        <w:t>Online, 2</w:t>
      </w:r>
      <w:r w:rsidR="000237A3">
        <w:t>5</w:t>
      </w:r>
      <w:r w:rsidRPr="0083546B">
        <w:rPr>
          <w:vertAlign w:val="superscript"/>
        </w:rPr>
        <w:t>th</w:t>
      </w:r>
      <w:r>
        <w:t xml:space="preserve"> </w:t>
      </w:r>
      <w:r w:rsidR="000237A3">
        <w:t xml:space="preserve">January </w:t>
      </w:r>
      <w:r>
        <w:t xml:space="preserve">– </w:t>
      </w:r>
      <w:r w:rsidR="000237A3">
        <w:t>5</w:t>
      </w:r>
      <w:r w:rsidRPr="0083546B">
        <w:rPr>
          <w:vertAlign w:val="superscript"/>
        </w:rPr>
        <w:t>th</w:t>
      </w:r>
      <w:r>
        <w:t xml:space="preserve"> </w:t>
      </w:r>
      <w:r w:rsidR="000237A3">
        <w:t xml:space="preserve">February </w:t>
      </w:r>
      <w:r>
        <w:t>202</w:t>
      </w:r>
      <w:r w:rsidR="002E45A0">
        <w:t>1</w:t>
      </w:r>
    </w:p>
    <w:p w14:paraId="3086AC07" w14:textId="77777777" w:rsidR="00E90E49" w:rsidRPr="00CE0424" w:rsidRDefault="00E90E49" w:rsidP="00357380">
      <w:pPr>
        <w:pStyle w:val="3GPPHeader"/>
      </w:pPr>
    </w:p>
    <w:p w14:paraId="3982483C" w14:textId="45736909" w:rsidR="00E90E49" w:rsidRPr="006B3E56" w:rsidRDefault="00E90E49" w:rsidP="00311702">
      <w:pPr>
        <w:pStyle w:val="3GPPHeader"/>
        <w:rPr>
          <w:sz w:val="22"/>
        </w:rPr>
      </w:pPr>
      <w:r w:rsidRPr="006B3E56">
        <w:rPr>
          <w:sz w:val="22"/>
        </w:rPr>
        <w:t>Agenda Item:</w:t>
      </w:r>
      <w:r w:rsidRPr="006B3E56">
        <w:rPr>
          <w:sz w:val="22"/>
        </w:rPr>
        <w:tab/>
      </w:r>
      <w:r w:rsidR="000237A3" w:rsidRPr="006B3E56">
        <w:rPr>
          <w:sz w:val="22"/>
        </w:rPr>
        <w:t>8.2.1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E9A1227" w:rsidR="00E90E49" w:rsidRPr="00CE0424" w:rsidRDefault="003D3C45" w:rsidP="00311702">
      <w:pPr>
        <w:pStyle w:val="3GPPHeader"/>
        <w:rPr>
          <w:sz w:val="22"/>
        </w:rPr>
      </w:pPr>
      <w:r>
        <w:rPr>
          <w:sz w:val="22"/>
        </w:rPr>
        <w:t>Title:</w:t>
      </w:r>
      <w:r w:rsidR="00E90E49" w:rsidRPr="00CE0424">
        <w:rPr>
          <w:sz w:val="22"/>
        </w:rPr>
        <w:tab/>
      </w:r>
      <w:r w:rsidR="000237A3">
        <w:rPr>
          <w:sz w:val="22"/>
        </w:rPr>
        <w:t>Initial Access Aspects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0237A3">
        <w:rPr>
          <w:sz w:val="22"/>
        </w:rPr>
        <w:t>Discussion, Decision</w:t>
      </w:r>
    </w:p>
    <w:p w14:paraId="6883CB62" w14:textId="2D87D60D" w:rsidR="00E90E49" w:rsidRDefault="00E90E49" w:rsidP="00DC4504">
      <w:pPr>
        <w:pStyle w:val="Heading1"/>
        <w:numPr>
          <w:ilvl w:val="0"/>
          <w:numId w:val="29"/>
        </w:numPr>
      </w:pPr>
      <w:r w:rsidRPr="00CE0424">
        <w:t>Introduction</w:t>
      </w:r>
    </w:p>
    <w:p w14:paraId="57E8228D" w14:textId="23EE37BA" w:rsidR="00C45E91" w:rsidRPr="0042572A" w:rsidRDefault="00C45E91" w:rsidP="00DC4504">
      <w:r>
        <w:rPr>
          <w:lang w:val="en-GB" w:eastAsia="ja-JP"/>
        </w:rPr>
        <w:t xml:space="preserve">In the </w:t>
      </w:r>
      <w:r w:rsidR="00201126">
        <w:rPr>
          <w:lang w:val="en-GB" w:eastAsia="ja-JP"/>
        </w:rPr>
        <w:t>revised</w:t>
      </w:r>
      <w:r>
        <w:rPr>
          <w:lang w:val="en-GB" w:eastAsia="ja-JP"/>
        </w:rPr>
        <w:t xml:space="preserve"> WID </w:t>
      </w:r>
      <w:r>
        <w:rPr>
          <w:lang w:val="en-GB" w:eastAsia="ja-JP"/>
        </w:rPr>
        <w:fldChar w:fldCharType="begin"/>
      </w:r>
      <w:r>
        <w:rPr>
          <w:lang w:val="en-GB" w:eastAsia="ja-JP"/>
        </w:rPr>
        <w:instrText xml:space="preserve"> REF _Ref60753713 \r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xml:space="preserve"> </w:t>
      </w:r>
      <w:r w:rsidR="00201126">
        <w:rPr>
          <w:lang w:val="en-GB" w:eastAsia="ja-JP"/>
        </w:rPr>
        <w:t>approved in RAN#90</w:t>
      </w:r>
      <w:r>
        <w:rPr>
          <w:lang w:val="en-GB" w:eastAsia="ja-JP"/>
        </w:rPr>
        <w:t xml:space="preserve"> on Extending current NR operation to 71 GHz, the following objective</w:t>
      </w:r>
      <w:r w:rsidR="00713630">
        <w:rPr>
          <w:lang w:val="en-GB" w:eastAsia="ja-JP"/>
        </w:rPr>
        <w:t>s</w:t>
      </w:r>
      <w:r>
        <w:rPr>
          <w:lang w:val="en-GB" w:eastAsia="ja-JP"/>
        </w:rPr>
        <w:t xml:space="preserve"> related to initial access are included:</w:t>
      </w:r>
    </w:p>
    <w:p w14:paraId="4AE5618B" w14:textId="74451AD9" w:rsidR="00F860BD" w:rsidRDefault="00F860BD" w:rsidP="00F860BD">
      <w:pPr>
        <w:pStyle w:val="B1"/>
        <w:numPr>
          <w:ilvl w:val="1"/>
          <w:numId w:val="23"/>
        </w:numPr>
        <w:overflowPunct w:val="0"/>
        <w:autoSpaceDE w:val="0"/>
        <w:autoSpaceDN w:val="0"/>
        <w:adjustRightInd w:val="0"/>
        <w:spacing w:after="0" w:line="240" w:lineRule="auto"/>
        <w:jc w:val="left"/>
        <w:textAlignment w:val="baseline"/>
        <w:rPr>
          <w:lang w:eastAsia="ja-JP"/>
        </w:rPr>
      </w:pPr>
      <w:r w:rsidRPr="00DC4504">
        <w:rPr>
          <w:lang w:eastAsia="ja-JP"/>
        </w:rPr>
        <w:t>Support of up to 64 SSB beams for licensed and unlicensed operation in this frequency range.</w:t>
      </w:r>
    </w:p>
    <w:p w14:paraId="302E7F16" w14:textId="77777777" w:rsidR="00C101B9" w:rsidRPr="00DC4504" w:rsidRDefault="00C101B9" w:rsidP="00DC4504">
      <w:pPr>
        <w:pStyle w:val="B1"/>
        <w:overflowPunct w:val="0"/>
        <w:autoSpaceDE w:val="0"/>
        <w:autoSpaceDN w:val="0"/>
        <w:adjustRightInd w:val="0"/>
        <w:spacing w:after="0" w:line="240" w:lineRule="auto"/>
        <w:ind w:left="1440" w:firstLine="0"/>
        <w:jc w:val="left"/>
        <w:textAlignment w:val="baseline"/>
        <w:rPr>
          <w:lang w:eastAsia="ja-JP"/>
        </w:rPr>
      </w:pPr>
    </w:p>
    <w:p w14:paraId="5CDBDD2C" w14:textId="77777777" w:rsidR="00F860BD" w:rsidRPr="00DC4504" w:rsidRDefault="00F860BD" w:rsidP="00F860BD">
      <w:pPr>
        <w:pStyle w:val="B1"/>
        <w:numPr>
          <w:ilvl w:val="1"/>
          <w:numId w:val="23"/>
        </w:numPr>
        <w:overflowPunct w:val="0"/>
        <w:autoSpaceDE w:val="0"/>
        <w:autoSpaceDN w:val="0"/>
        <w:adjustRightInd w:val="0"/>
        <w:spacing w:after="0" w:line="240" w:lineRule="auto"/>
        <w:jc w:val="left"/>
        <w:textAlignment w:val="baseline"/>
        <w:rPr>
          <w:lang w:eastAsia="ja-JP"/>
        </w:rPr>
      </w:pPr>
      <w:r w:rsidRPr="00DC4504">
        <w:t>Supports 120kHz SCS for SSB and 120kHz SCS for initial access related signals/channels in an</w:t>
      </w:r>
      <w:r w:rsidRPr="00DC4504">
        <w:rPr>
          <w:color w:val="FF0000"/>
        </w:rPr>
        <w:t xml:space="preserve"> </w:t>
      </w:r>
      <w:r w:rsidRPr="00DC4504">
        <w:t>initial BWP.</w:t>
      </w:r>
    </w:p>
    <w:p w14:paraId="79C0CC5A" w14:textId="7BF8F270" w:rsidR="00F860BD" w:rsidRPr="00DC4504" w:rsidRDefault="00F860BD" w:rsidP="00F860BD">
      <w:pPr>
        <w:pStyle w:val="B1"/>
        <w:numPr>
          <w:ilvl w:val="2"/>
          <w:numId w:val="23"/>
        </w:numPr>
        <w:overflowPunct w:val="0"/>
        <w:autoSpaceDE w:val="0"/>
        <w:autoSpaceDN w:val="0"/>
        <w:adjustRightInd w:val="0"/>
        <w:spacing w:after="0" w:line="240" w:lineRule="auto"/>
        <w:jc w:val="left"/>
        <w:textAlignment w:val="baseline"/>
      </w:pPr>
      <w:r w:rsidRPr="00DC4504">
        <w:t>Study and specify, if needed, additional SCS (240kHz, 480kHz, 960kHz) for SSB, and additional SCS</w:t>
      </w:r>
      <w:r w:rsidR="00B95BBF">
        <w:t xml:space="preserve"> </w:t>
      </w:r>
      <w:r w:rsidRPr="00DC4504">
        <w:t>(480kHz, 960kHz) for initial access related signals/channels in initial BWP.</w:t>
      </w:r>
    </w:p>
    <w:p w14:paraId="746CA40F" w14:textId="77777777" w:rsidR="00F860BD" w:rsidRPr="00DC4504" w:rsidRDefault="00F860BD" w:rsidP="00F860BD">
      <w:pPr>
        <w:pStyle w:val="B1"/>
        <w:numPr>
          <w:ilvl w:val="2"/>
          <w:numId w:val="23"/>
        </w:numPr>
        <w:overflowPunct w:val="0"/>
        <w:autoSpaceDE w:val="0"/>
        <w:autoSpaceDN w:val="0"/>
        <w:adjustRightInd w:val="0"/>
        <w:spacing w:after="0" w:line="240" w:lineRule="auto"/>
        <w:jc w:val="left"/>
        <w:textAlignment w:val="baseline"/>
      </w:pPr>
      <w:r w:rsidRPr="00DC4504">
        <w:t>Study and specify, if needed, additional SCS (480kHz, 960kHz) for SSB for cases other than initial access.</w:t>
      </w:r>
    </w:p>
    <w:p w14:paraId="06DECDF6" w14:textId="77777777" w:rsidR="00F860BD" w:rsidRPr="00DC4504" w:rsidRDefault="00F860BD" w:rsidP="00F860BD">
      <w:pPr>
        <w:pStyle w:val="B1"/>
        <w:numPr>
          <w:ilvl w:val="2"/>
          <w:numId w:val="23"/>
        </w:numPr>
        <w:overflowPunct w:val="0"/>
        <w:autoSpaceDE w:val="0"/>
        <w:autoSpaceDN w:val="0"/>
        <w:adjustRightInd w:val="0"/>
        <w:spacing w:after="0" w:line="240" w:lineRule="auto"/>
        <w:jc w:val="left"/>
        <w:textAlignment w:val="baseline"/>
      </w:pPr>
      <w:r w:rsidRPr="00DC4504">
        <w:t>Note: coverage enhancement for SSB is not pursued.</w:t>
      </w:r>
    </w:p>
    <w:p w14:paraId="3F108782" w14:textId="77777777" w:rsidR="00C101B9" w:rsidRPr="00DC4504" w:rsidRDefault="00C101B9" w:rsidP="00DC4504">
      <w:pPr>
        <w:pStyle w:val="B1"/>
        <w:overflowPunct w:val="0"/>
        <w:autoSpaceDE w:val="0"/>
        <w:autoSpaceDN w:val="0"/>
        <w:adjustRightInd w:val="0"/>
        <w:spacing w:after="0" w:line="240" w:lineRule="auto"/>
        <w:ind w:left="1440" w:firstLine="0"/>
        <w:jc w:val="left"/>
        <w:textAlignment w:val="baseline"/>
        <w:rPr>
          <w:rFonts w:eastAsia="DengXian"/>
          <w:szCs w:val="20"/>
          <w:lang w:eastAsia="ko-KR"/>
        </w:rPr>
      </w:pPr>
    </w:p>
    <w:p w14:paraId="22BC67B9" w14:textId="647D897E" w:rsidR="00C45E91" w:rsidRPr="00DC4504" w:rsidRDefault="00C45E91" w:rsidP="00F860BD">
      <w:pPr>
        <w:pStyle w:val="B1"/>
        <w:numPr>
          <w:ilvl w:val="1"/>
          <w:numId w:val="23"/>
        </w:numPr>
        <w:overflowPunct w:val="0"/>
        <w:autoSpaceDE w:val="0"/>
        <w:autoSpaceDN w:val="0"/>
        <w:adjustRightInd w:val="0"/>
        <w:spacing w:after="0" w:line="240" w:lineRule="auto"/>
        <w:jc w:val="left"/>
        <w:textAlignment w:val="baseline"/>
        <w:rPr>
          <w:rFonts w:eastAsia="DengXian"/>
          <w:szCs w:val="20"/>
          <w:lang w:eastAsia="ko-KR"/>
        </w:rPr>
      </w:pPr>
      <w:r w:rsidRPr="00DC4504">
        <w:rPr>
          <w:szCs w:val="20"/>
          <w:lang w:eastAsia="ko-KR"/>
        </w:rPr>
        <w:t>Specify support for PRACH sequence lengths (i.e. L=139, L=571 and L=1151) and study, if needed, specify support for RO configuration for non-consecutive RACH occasions (RO) in time domain for operation in shared spectrum</w:t>
      </w:r>
      <w:r w:rsidRPr="00DC4504">
        <w:rPr>
          <w:rFonts w:eastAsia="DengXian"/>
          <w:szCs w:val="20"/>
          <w:lang w:eastAsia="ko-KR"/>
        </w:rPr>
        <w:t xml:space="preserve"> </w:t>
      </w:r>
    </w:p>
    <w:p w14:paraId="029E4E99" w14:textId="77777777" w:rsidR="00C45E91" w:rsidRPr="00DC4504" w:rsidRDefault="00C45E91" w:rsidP="00DC4504">
      <w:pPr>
        <w:pStyle w:val="B1"/>
        <w:overflowPunct w:val="0"/>
        <w:autoSpaceDE w:val="0"/>
        <w:autoSpaceDN w:val="0"/>
        <w:adjustRightInd w:val="0"/>
        <w:spacing w:after="0" w:line="240" w:lineRule="auto"/>
        <w:ind w:left="0" w:firstLine="0"/>
        <w:jc w:val="left"/>
        <w:textAlignment w:val="baseline"/>
        <w:rPr>
          <w:rFonts w:eastAsia="DengXian"/>
          <w:szCs w:val="20"/>
          <w:highlight w:val="yellow"/>
          <w:lang w:eastAsia="ko-KR"/>
        </w:rPr>
      </w:pPr>
    </w:p>
    <w:p w14:paraId="2C90093F" w14:textId="05D5B575" w:rsidR="00F860BD" w:rsidRDefault="00C45E91" w:rsidP="00F860BD">
      <w:pPr>
        <w:spacing w:after="0"/>
        <w:rPr>
          <w:rFonts w:eastAsia="Calibri" w:cs="Arial"/>
          <w:color w:val="000000" w:themeColor="text1"/>
        </w:rPr>
      </w:pPr>
      <w:r w:rsidRPr="00DC4504">
        <w:rPr>
          <w:rFonts w:eastAsia="Calibri" w:cs="Arial"/>
          <w:color w:val="000000" w:themeColor="text1"/>
        </w:rPr>
        <w:t xml:space="preserve">In this contribution, </w:t>
      </w:r>
      <w:r>
        <w:rPr>
          <w:rFonts w:eastAsia="Calibri" w:cs="Arial"/>
          <w:color w:val="000000" w:themeColor="text1"/>
        </w:rPr>
        <w:t>the</w:t>
      </w:r>
      <w:r w:rsidR="00C82F9E">
        <w:rPr>
          <w:rFonts w:eastAsia="Calibri" w:cs="Arial"/>
          <w:color w:val="000000" w:themeColor="text1"/>
        </w:rPr>
        <w:t xml:space="preserve"> following</w:t>
      </w:r>
      <w:r>
        <w:rPr>
          <w:rFonts w:eastAsia="Calibri" w:cs="Arial"/>
          <w:color w:val="000000" w:themeColor="text1"/>
        </w:rPr>
        <w:t xml:space="preserve"> aspects will be discussed, SS/PBCH block related aspects in Section 2.1 and RACH related aspects in Section 2.2.</w:t>
      </w:r>
    </w:p>
    <w:p w14:paraId="40E11063" w14:textId="77777777" w:rsidR="00C45E91" w:rsidRPr="005E0AB8" w:rsidRDefault="00C45E91" w:rsidP="00F860BD">
      <w:pPr>
        <w:spacing w:after="0"/>
        <w:rPr>
          <w:rFonts w:eastAsia="Calibri" w:cs="Arial"/>
          <w:color w:val="0070C0"/>
        </w:rPr>
      </w:pPr>
    </w:p>
    <w:p w14:paraId="60123794" w14:textId="05A43A89" w:rsidR="004000E8" w:rsidRDefault="00230D18" w:rsidP="00CE0424">
      <w:pPr>
        <w:pStyle w:val="Heading1"/>
      </w:pPr>
      <w:bookmarkStart w:id="1" w:name="_Ref178064866"/>
      <w:r>
        <w:t>2</w:t>
      </w:r>
      <w:r>
        <w:tab/>
      </w:r>
      <w:r w:rsidR="004000E8" w:rsidRPr="00CE0424">
        <w:t>Discussion</w:t>
      </w:r>
      <w:bookmarkEnd w:id="1"/>
    </w:p>
    <w:p w14:paraId="36B685DB" w14:textId="7FDD45AB" w:rsidR="00446426" w:rsidRDefault="00446426" w:rsidP="00446426">
      <w:r>
        <w:t>In TR 38.808 it is stated “</w:t>
      </w:r>
      <w:r w:rsidRPr="009476C7">
        <w:t>It is observed that for a single carrier with the same number of transmitted symbols, in general, smaller subcarrier spacing may potentially provide larger coverage due to use of smaller bandwidth and gears towards (but not limited to) coverage driven scenarios.</w:t>
      </w:r>
      <w:r>
        <w:t>”</w:t>
      </w:r>
    </w:p>
    <w:p w14:paraId="12A7E3CC" w14:textId="77777777" w:rsidR="003D051F" w:rsidRDefault="003D051F" w:rsidP="003D051F">
      <w:pPr>
        <w:rPr>
          <w:noProof/>
        </w:rPr>
      </w:pPr>
      <w:r>
        <w:rPr>
          <w:noProof/>
        </w:rPr>
        <w:lastRenderedPageBreak/>
        <w:drawing>
          <wp:inline distT="0" distB="0" distL="0" distR="0" wp14:anchorId="5C450F5E" wp14:editId="606B7D36">
            <wp:extent cx="2972435" cy="1982470"/>
            <wp:effectExtent l="0" t="0" r="0" b="0"/>
            <wp:docPr id="1646987622" name="Picture 1646987622"/>
            <wp:cNvGraphicFramePr/>
            <a:graphic xmlns:a="http://schemas.openxmlformats.org/drawingml/2006/main">
              <a:graphicData uri="http://schemas.openxmlformats.org/drawingml/2006/picture">
                <pic:pic xmlns:pic="http://schemas.openxmlformats.org/drawingml/2006/picture">
                  <pic:nvPicPr>
                    <pic:cNvPr id="1646987622" name="Picture 1646987622"/>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2972435" cy="1982470"/>
                    </a:xfrm>
                    <a:prstGeom prst="rect">
                      <a:avLst/>
                    </a:prstGeom>
                    <a:noFill/>
                    <a:ln>
                      <a:noFill/>
                    </a:ln>
                  </pic:spPr>
                </pic:pic>
              </a:graphicData>
            </a:graphic>
          </wp:inline>
        </w:drawing>
      </w:r>
      <w:r w:rsidRPr="00446426">
        <w:rPr>
          <w:noProof/>
        </w:rPr>
        <w:t xml:space="preserve"> </w:t>
      </w:r>
      <w:r>
        <w:rPr>
          <w:noProof/>
        </w:rPr>
        <w:drawing>
          <wp:inline distT="0" distB="0" distL="0" distR="0" wp14:anchorId="16AF6852" wp14:editId="6241D440">
            <wp:extent cx="2961005" cy="2288540"/>
            <wp:effectExtent l="0" t="0" r="0" b="0"/>
            <wp:docPr id="1239340944" name="Picture 1239340944"/>
            <wp:cNvGraphicFramePr/>
            <a:graphic xmlns:a="http://schemas.openxmlformats.org/drawingml/2006/main">
              <a:graphicData uri="http://schemas.openxmlformats.org/drawingml/2006/picture">
                <pic:pic xmlns:pic="http://schemas.openxmlformats.org/drawingml/2006/picture">
                  <pic:nvPicPr>
                    <pic:cNvPr id="1239340944" name="Picture 1239340944"/>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61005" cy="2288540"/>
                    </a:xfrm>
                    <a:prstGeom prst="rect">
                      <a:avLst/>
                    </a:prstGeom>
                    <a:noFill/>
                  </pic:spPr>
                </pic:pic>
              </a:graphicData>
            </a:graphic>
          </wp:inline>
        </w:drawing>
      </w:r>
    </w:p>
    <w:p w14:paraId="4DDAC1AE" w14:textId="0B3CA338" w:rsidR="003D051F" w:rsidRDefault="003D051F" w:rsidP="003D051F">
      <w:pPr>
        <w:rPr>
          <w:rFonts w:eastAsia="Times New Roman" w:cs="Arial"/>
          <w:b/>
          <w:szCs w:val="20"/>
        </w:rPr>
      </w:pPr>
      <w:r>
        <w:rPr>
          <w:rFonts w:cs="Arial"/>
          <w:b/>
        </w:rPr>
        <w:t xml:space="preserve">Figure </w:t>
      </w:r>
      <w:r>
        <w:fldChar w:fldCharType="begin"/>
      </w:r>
      <w:r>
        <w:rPr>
          <w:rFonts w:cs="Arial"/>
          <w:b/>
        </w:rPr>
        <w:instrText xml:space="preserve"> SEQ Figure \* ARABIC </w:instrText>
      </w:r>
      <w:r>
        <w:fldChar w:fldCharType="separate"/>
      </w:r>
      <w:r w:rsidR="00D67762">
        <w:rPr>
          <w:rFonts w:cs="Arial"/>
          <w:b/>
          <w:noProof/>
        </w:rPr>
        <w:t>1</w:t>
      </w:r>
      <w:r>
        <w:fldChar w:fldCharType="end"/>
      </w:r>
      <w:r>
        <w:rPr>
          <w:rFonts w:cs="Arial"/>
          <w:b/>
          <w:bCs/>
        </w:rPr>
        <w:t>:</w:t>
      </w:r>
      <w:r>
        <w:rPr>
          <w:rFonts w:cs="Arial"/>
          <w:b/>
        </w:rPr>
        <w:t xml:space="preserve"> (left) </w:t>
      </w:r>
      <w:r w:rsidRPr="00496D0D">
        <w:rPr>
          <w:rFonts w:cs="Arial"/>
          <w:b/>
        </w:rPr>
        <w:t>SSB (PSS+SSS+PBCH) maximum isotropic loss for TDL-A 3km/h, various delay spreads and subcarrier spacings.</w:t>
      </w:r>
      <w:r>
        <w:rPr>
          <w:rFonts w:cs="Arial"/>
          <w:b/>
        </w:rPr>
        <w:t xml:space="preserve"> (right) PRACH maximum isotropic loss for the case of delay spread </w:t>
      </w:r>
      <w:r>
        <w:rPr>
          <w:rFonts w:cs="Arial"/>
          <w:b/>
          <w:bCs/>
        </w:rPr>
        <w:t>2</w:t>
      </w:r>
      <w:r>
        <w:rPr>
          <w:rFonts w:cs="Arial"/>
          <w:b/>
        </w:rPr>
        <w:t xml:space="preserve">0 ns and </w:t>
      </w:r>
      <w:r>
        <w:rPr>
          <w:rFonts w:cs="Arial"/>
          <w:b/>
          <w:bCs/>
        </w:rPr>
        <w:t>maximum propagation round-trip time 380</w:t>
      </w:r>
      <w:r>
        <w:rPr>
          <w:rFonts w:cs="Arial"/>
          <w:b/>
        </w:rPr>
        <w:t> ns</w:t>
      </w:r>
      <w:r>
        <w:rPr>
          <w:rFonts w:cs="Arial"/>
          <w:b/>
          <w:bCs/>
        </w:rPr>
        <w:t xml:space="preserve"> (ISD 100 m) with all transmit power limits considered. L is the PRACH sequence length.</w:t>
      </w:r>
    </w:p>
    <w:p w14:paraId="2EEC56B0" w14:textId="6A451B67" w:rsidR="00496D0D" w:rsidRDefault="00496D0D" w:rsidP="00446426">
      <w:r>
        <w:t>That is, w</w:t>
      </w:r>
      <w:r w:rsidR="00446426">
        <w:t xml:space="preserve">ith larger SCS, the OFDM symbol duration becomes shorter which negatively impacts coverage for fixed payload channels (e.g., PDCCH/PUCCH) and variable payload channels (e.g., PDSCH/PUSCH). The same is true for initial access signals and channels (SS/PBCH block, PRACH) as we show using link budget results </w:t>
      </w:r>
      <w:r w:rsidR="00983772">
        <w:rPr>
          <w:highlight w:val="yellow"/>
        </w:rPr>
        <w:fldChar w:fldCharType="begin"/>
      </w:r>
      <w:r w:rsidR="00983772">
        <w:instrText xml:space="preserve"> REF _Ref61361737 \r \h </w:instrText>
      </w:r>
      <w:r w:rsidR="00983772">
        <w:rPr>
          <w:highlight w:val="yellow"/>
        </w:rPr>
      </w:r>
      <w:r w:rsidR="00983772">
        <w:rPr>
          <w:highlight w:val="yellow"/>
        </w:rPr>
        <w:fldChar w:fldCharType="separate"/>
      </w:r>
      <w:r w:rsidR="00983772">
        <w:t>[7]</w:t>
      </w:r>
      <w:r w:rsidR="00983772">
        <w:rPr>
          <w:highlight w:val="yellow"/>
        </w:rPr>
        <w:fldChar w:fldCharType="end"/>
      </w:r>
      <w:r w:rsidR="00446426">
        <w:t xml:space="preserve"> respectively. </w:t>
      </w:r>
      <w:r>
        <w:t xml:space="preserve">In </w:t>
      </w:r>
      <w:r>
        <w:fldChar w:fldCharType="begin"/>
      </w:r>
      <w:r>
        <w:instrText xml:space="preserve"> REF _Ref53588805 \h  \* MERGEFORMAT </w:instrText>
      </w:r>
      <w:r>
        <w:fldChar w:fldCharType="separate"/>
      </w:r>
      <w:r w:rsidR="00C2188F">
        <w:rPr>
          <w:b/>
          <w:bCs/>
        </w:rPr>
        <w:t>Error! Reference source not found.</w:t>
      </w:r>
      <w:r>
        <w:fldChar w:fldCharType="end"/>
      </w:r>
      <w:r>
        <w:t xml:space="preserve"> </w:t>
      </w:r>
      <w:r w:rsidR="00446426">
        <w:t>we r</w:t>
      </w:r>
      <w:r>
        <w:t xml:space="preserve">epeat the link budget results from </w:t>
      </w:r>
      <w:r w:rsidR="00EE68F7">
        <w:t xml:space="preserve">Sections 4.1.1 and 4.1.2 of </w:t>
      </w:r>
      <w:r w:rsidR="00983772">
        <w:rPr>
          <w:highlight w:val="yellow"/>
        </w:rPr>
        <w:fldChar w:fldCharType="begin"/>
      </w:r>
      <w:r w:rsidR="00983772">
        <w:instrText xml:space="preserve"> REF _Ref61361737 \r \h </w:instrText>
      </w:r>
      <w:r w:rsidR="00983772">
        <w:rPr>
          <w:highlight w:val="yellow"/>
        </w:rPr>
      </w:r>
      <w:r w:rsidR="00983772">
        <w:rPr>
          <w:highlight w:val="yellow"/>
        </w:rPr>
        <w:fldChar w:fldCharType="separate"/>
      </w:r>
      <w:r w:rsidR="00983772">
        <w:t>[7]</w:t>
      </w:r>
      <w:r w:rsidR="00983772">
        <w:rPr>
          <w:highlight w:val="yellow"/>
        </w:rPr>
        <w:fldChar w:fldCharType="end"/>
      </w:r>
      <w:r>
        <w:t xml:space="preserve"> for SS/PBCH block and PRACH. For both SS</w:t>
      </w:r>
      <w:r w:rsidR="0006513E">
        <w:t>/P</w:t>
      </w:r>
      <w:r>
        <w:t>B</w:t>
      </w:r>
      <w:r w:rsidR="0006513E">
        <w:t>CH block</w:t>
      </w:r>
      <w:r>
        <w:t xml:space="preserve"> and PRACH, 120 kHz </w:t>
      </w:r>
      <w:r w:rsidR="003D051F">
        <w:t xml:space="preserve">SCS </w:t>
      </w:r>
      <w:r>
        <w:t xml:space="preserve">has more than 6 dB better maximum isotropic loss than 960 kHz. </w:t>
      </w:r>
      <w:r w:rsidR="003D051F">
        <w:t>Based on the pathloss models in 38.902, this results in a 1.5 - 2 times larger cell radius and thus 2.25 - 4 times larger coverage area.</w:t>
      </w:r>
      <w:r w:rsidR="0006513E">
        <w:t xml:space="preserve"> We can also observe that the maximum isotropic loss for the SS/PBCH block with 120 and 240 kHz are essentially identical, due to the fixed frequency allocation (20 PRBs) and spectral power density limits.</w:t>
      </w:r>
    </w:p>
    <w:p w14:paraId="07FB48C3" w14:textId="4E7435A0" w:rsidR="003D051F" w:rsidRDefault="003D051F" w:rsidP="003D051F">
      <w:pPr>
        <w:pStyle w:val="BodyText"/>
      </w:pPr>
      <w:r>
        <w:t>Based on this observation</w:t>
      </w:r>
      <w:r w:rsidR="00F86CEB">
        <w:t xml:space="preserve">, and the fact that coverage enhancements for SSB are not pursued according to the WID </w:t>
      </w:r>
      <w:r w:rsidR="00F86CEB">
        <w:fldChar w:fldCharType="begin"/>
      </w:r>
      <w:r w:rsidR="00F86CEB">
        <w:instrText xml:space="preserve"> REF _Ref60753713 \r \h </w:instrText>
      </w:r>
      <w:r w:rsidR="00F86CEB">
        <w:fldChar w:fldCharType="separate"/>
      </w:r>
      <w:r w:rsidR="00F86CEB">
        <w:t>[1]</w:t>
      </w:r>
      <w:r w:rsidR="00F86CEB">
        <w:fldChar w:fldCharType="end"/>
      </w:r>
      <w:r>
        <w:t xml:space="preserve">, it is important to deploy in a manner that ensures coverage, which further guides what sort of design changes/enhancements compared to Rel-16 should be supported for operation of NR in the 52.6 – 71 GHz band. Two example deployments ensuring coverage are shown in </w:t>
      </w:r>
      <w:r w:rsidR="00EE68F7">
        <w:fldChar w:fldCharType="begin"/>
      </w:r>
      <w:r w:rsidR="00EE68F7">
        <w:instrText xml:space="preserve"> REF _Ref60908023 \h </w:instrText>
      </w:r>
      <w:r w:rsidR="00EE68F7">
        <w:fldChar w:fldCharType="separate"/>
      </w:r>
      <w:r w:rsidR="00EE68F7">
        <w:t xml:space="preserve">Figure </w:t>
      </w:r>
      <w:r w:rsidR="00EE68F7">
        <w:rPr>
          <w:noProof/>
        </w:rPr>
        <w:t>2</w:t>
      </w:r>
      <w:r w:rsidR="00EE68F7">
        <w:fldChar w:fldCharType="end"/>
      </w:r>
      <w:r w:rsidR="00EE68F7">
        <w:t xml:space="preserve"> and </w:t>
      </w:r>
      <w:r w:rsidR="00EE68F7">
        <w:fldChar w:fldCharType="begin"/>
      </w:r>
      <w:r w:rsidR="00EE68F7">
        <w:instrText xml:space="preserve"> REF _Ref60908039 \h </w:instrText>
      </w:r>
      <w:r w:rsidR="00EE68F7">
        <w:fldChar w:fldCharType="separate"/>
      </w:r>
      <w:r w:rsidR="00EE68F7">
        <w:t xml:space="preserve">Figure </w:t>
      </w:r>
      <w:r w:rsidR="00EE68F7">
        <w:rPr>
          <w:noProof/>
        </w:rPr>
        <w:t>3</w:t>
      </w:r>
      <w:r w:rsidR="00EE68F7">
        <w:fldChar w:fldCharType="end"/>
      </w:r>
      <w:r>
        <w:t>. In both cases, a carrier in the 52.6 – 71 GHz band is deployed, but for the non-standalone deployment, this carrier inter-works with a low(er)-band carrier through carrier aggregation (CA) or dual-connectivity (DC).</w:t>
      </w:r>
    </w:p>
    <w:p w14:paraId="3471E1F6" w14:textId="5B3A0BF9" w:rsidR="00405174" w:rsidRDefault="00405174" w:rsidP="003D051F">
      <w:pPr>
        <w:pStyle w:val="BodyText"/>
      </w:pPr>
      <w:r>
        <w:t>For the non-standalone case</w:t>
      </w:r>
      <w:r w:rsidR="002025ED">
        <w:t xml:space="preserve"> (</w:t>
      </w:r>
      <w:r w:rsidR="002025ED">
        <w:fldChar w:fldCharType="begin"/>
      </w:r>
      <w:r w:rsidR="002025ED">
        <w:instrText xml:space="preserve"> REF _Ref60908023 \h </w:instrText>
      </w:r>
      <w:r w:rsidR="002025ED">
        <w:fldChar w:fldCharType="separate"/>
      </w:r>
      <w:r w:rsidR="002025ED">
        <w:t xml:space="preserve">Figure </w:t>
      </w:r>
      <w:r w:rsidR="002025ED">
        <w:rPr>
          <w:noProof/>
        </w:rPr>
        <w:t>2</w:t>
      </w:r>
      <w:r w:rsidR="002025ED">
        <w:fldChar w:fldCharType="end"/>
      </w:r>
      <w:r w:rsidR="002025ED">
        <w:t>)</w:t>
      </w:r>
      <w:r>
        <w:t xml:space="preserve">, a PCell in the low(er) band carrier is configured with 15/30 kHz SCS (for FR1) or </w:t>
      </w:r>
      <w:r w:rsidR="004C4D59">
        <w:t>60/</w:t>
      </w:r>
      <w:r>
        <w:t xml:space="preserve">120 kHz SCS (for FR2) for which coverage is ensured. </w:t>
      </w:r>
      <w:r w:rsidR="00D86FF4">
        <w:t>In this deployment</w:t>
      </w:r>
      <w:r>
        <w:t xml:space="preserve">, the existing Rel-15 initial access framework is directly appliable. In addition, an SCell or PSCell is configured on the high band carrier (in the 52.6 – 71 GHz band) with </w:t>
      </w:r>
      <w:r w:rsidR="00D86FF4">
        <w:t xml:space="preserve">either </w:t>
      </w:r>
      <w:r>
        <w:t xml:space="preserve">480 </w:t>
      </w:r>
      <w:r w:rsidR="00D86FF4">
        <w:t>or 960</w:t>
      </w:r>
      <w:r>
        <w:t xml:space="preserve"> kHz SCS which inter-works with the low(er)-band carrier through CA/DC. The SCell/PSCell is activated in order to support high data rates when needed as long as the UE is in sufficiently good channel conditions. This would be the most robust way of operating</w:t>
      </w:r>
      <w:r w:rsidR="00EE68F7">
        <w:t>,</w:t>
      </w:r>
      <w:r>
        <w:t xml:space="preserve"> as coverage is ensured by the lower band PCell.</w:t>
      </w:r>
    </w:p>
    <w:p w14:paraId="5EC286EA" w14:textId="7B4B2214" w:rsidR="002025ED" w:rsidRDefault="00451F5C" w:rsidP="002025ED">
      <w:pPr>
        <w:keepNext/>
        <w:tabs>
          <w:tab w:val="center" w:pos="2340"/>
          <w:tab w:val="center" w:pos="7290"/>
        </w:tabs>
        <w:spacing w:line="256" w:lineRule="auto"/>
        <w:contextualSpacing/>
        <w:jc w:val="center"/>
        <w:rPr>
          <w:rFonts w:ascii="Times New Roman" w:eastAsia="Times New Roman" w:hAnsi="Times New Roman" w:cs="Times New Roman"/>
          <w:szCs w:val="20"/>
        </w:rPr>
      </w:pPr>
      <w:r>
        <w:rPr>
          <w:rFonts w:ascii="Times New Roman" w:eastAsia="Times New Roman" w:hAnsi="Times New Roman" w:cs="Times New Roman"/>
          <w:noProof/>
          <w:szCs w:val="20"/>
        </w:rPr>
        <w:drawing>
          <wp:inline distT="0" distB="0" distL="0" distR="0" wp14:anchorId="22E0870D" wp14:editId="0C6755BA">
            <wp:extent cx="3340800" cy="12852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40800" cy="1285200"/>
                    </a:xfrm>
                    <a:prstGeom prst="rect">
                      <a:avLst/>
                    </a:prstGeom>
                    <a:noFill/>
                  </pic:spPr>
                </pic:pic>
              </a:graphicData>
            </a:graphic>
          </wp:inline>
        </w:drawing>
      </w:r>
    </w:p>
    <w:p w14:paraId="67BE983F" w14:textId="26964AD6" w:rsidR="002025ED" w:rsidRDefault="002025ED" w:rsidP="002025ED">
      <w:pPr>
        <w:pStyle w:val="TF"/>
        <w:jc w:val="both"/>
        <w:rPr>
          <w:rFonts w:cs="Arial"/>
          <w:highlight w:val="yellow"/>
        </w:rPr>
      </w:pPr>
      <w:bookmarkStart w:id="2" w:name="_Ref60908023"/>
      <w:bookmarkStart w:id="3" w:name="_Ref61756084"/>
      <w:r>
        <w:rPr>
          <w:lang w:val="en-US"/>
        </w:rPr>
        <w:t xml:space="preserve">Figure </w:t>
      </w:r>
      <w:r>
        <w:fldChar w:fldCharType="begin"/>
      </w:r>
      <w:r>
        <w:instrText xml:space="preserve"> SEQ Figure \* ARABIC </w:instrText>
      </w:r>
      <w:r>
        <w:fldChar w:fldCharType="separate"/>
      </w:r>
      <w:r w:rsidR="00D67762">
        <w:rPr>
          <w:noProof/>
        </w:rPr>
        <w:t>2</w:t>
      </w:r>
      <w:r>
        <w:rPr>
          <w:noProof/>
        </w:rPr>
        <w:fldChar w:fldCharType="end"/>
      </w:r>
      <w:bookmarkEnd w:id="2"/>
      <w:r>
        <w:rPr>
          <w:lang w:val="en-US"/>
        </w:rPr>
        <w:t xml:space="preserve">: Non-standalone deployment scenarios for ensuring coverage with reuse of </w:t>
      </w:r>
      <w:r w:rsidR="002334C4">
        <w:rPr>
          <w:lang w:val="en-US"/>
        </w:rPr>
        <w:t>FR1/</w:t>
      </w:r>
      <w:r>
        <w:rPr>
          <w:lang w:val="en-US"/>
        </w:rPr>
        <w:t>FR2 initial access framework</w:t>
      </w:r>
      <w:bookmarkEnd w:id="3"/>
    </w:p>
    <w:p w14:paraId="6E859EB5" w14:textId="50739048" w:rsidR="005D0B4B" w:rsidRDefault="003D051F" w:rsidP="003D051F">
      <w:pPr>
        <w:pStyle w:val="BodyText"/>
      </w:pPr>
      <w:r>
        <w:t>For the standalone case</w:t>
      </w:r>
      <w:r w:rsidR="002025ED">
        <w:t xml:space="preserve"> (</w:t>
      </w:r>
      <w:r w:rsidR="002025ED">
        <w:fldChar w:fldCharType="begin"/>
      </w:r>
      <w:r w:rsidR="002025ED">
        <w:instrText xml:space="preserve"> REF _Ref60908039 \h </w:instrText>
      </w:r>
      <w:r w:rsidR="002025ED">
        <w:fldChar w:fldCharType="separate"/>
      </w:r>
      <w:r w:rsidR="002025ED">
        <w:t xml:space="preserve">Figure </w:t>
      </w:r>
      <w:r w:rsidR="002025ED">
        <w:rPr>
          <w:noProof/>
        </w:rPr>
        <w:t>3</w:t>
      </w:r>
      <w:r w:rsidR="002025ED">
        <w:fldChar w:fldCharType="end"/>
      </w:r>
      <w:r w:rsidR="002025ED">
        <w:t>)</w:t>
      </w:r>
      <w:r>
        <w:t xml:space="preserve">, coverage is ensured by </w:t>
      </w:r>
      <w:r w:rsidR="00920B50">
        <w:t>a PCell with</w:t>
      </w:r>
      <w:r>
        <w:t xml:space="preserve"> </w:t>
      </w:r>
      <w:r w:rsidR="00920B50">
        <w:t xml:space="preserve">an </w:t>
      </w:r>
      <w:r>
        <w:t xml:space="preserve">initial BWP using 120 kHz SCS. The initial BWP is used for initial access, and the existing FR2 framework is directly applicable, e.g., 120 kHz </w:t>
      </w:r>
      <w:r>
        <w:lastRenderedPageBreak/>
        <w:t xml:space="preserve">for PRACH and 120/240 kHz for SS/PBCH. </w:t>
      </w:r>
      <w:r w:rsidR="00405174">
        <w:t xml:space="preserve">To support higher data rates for UEs in good coverage there are two options; (i) </w:t>
      </w:r>
      <w:r w:rsidR="00D86FF4">
        <w:t xml:space="preserve">intra-band multi-carrier operation in which one </w:t>
      </w:r>
      <w:r w:rsidR="00405174">
        <w:t>configure</w:t>
      </w:r>
      <w:r w:rsidR="00D86FF4">
        <w:t>s</w:t>
      </w:r>
      <w:r w:rsidR="00405174">
        <w:t xml:space="preserve"> the UE with additional SCell(s) with </w:t>
      </w:r>
      <w:r w:rsidR="00D86FF4">
        <w:t xml:space="preserve">larger </w:t>
      </w:r>
      <w:r w:rsidR="00920B50">
        <w:t xml:space="preserve">bandwidth and </w:t>
      </w:r>
      <w:r w:rsidR="00405174">
        <w:t xml:space="preserve">larger SCS (480 </w:t>
      </w:r>
      <w:r w:rsidR="00D86FF4">
        <w:t>or 960</w:t>
      </w:r>
      <w:r w:rsidR="00405174">
        <w:t xml:space="preserve"> kHz)</w:t>
      </w:r>
      <w:r w:rsidR="00920B50">
        <w:t xml:space="preserve"> or</w:t>
      </w:r>
      <w:r w:rsidR="00405174">
        <w:t xml:space="preserve"> (ii) </w:t>
      </w:r>
      <w:r w:rsidR="00D86FF4">
        <w:t xml:space="preserve">single-carrier operation in which one </w:t>
      </w:r>
      <w:r w:rsidR="00405174">
        <w:t>configure</w:t>
      </w:r>
      <w:r w:rsidR="00D86FF4">
        <w:t>s</w:t>
      </w:r>
      <w:r w:rsidR="00405174">
        <w:t xml:space="preserve"> an additional wide BWP with larger SCS (480 </w:t>
      </w:r>
      <w:r w:rsidR="00D86FF4">
        <w:t>or 960</w:t>
      </w:r>
      <w:r w:rsidR="00405174">
        <w:t xml:space="preserve"> kHz)</w:t>
      </w:r>
      <w:r w:rsidR="00920B50">
        <w:t xml:space="preserve">. </w:t>
      </w:r>
    </w:p>
    <w:p w14:paraId="756B51A5" w14:textId="77777777" w:rsidR="001F5F30" w:rsidRPr="00DC4504" w:rsidRDefault="001F5F30" w:rsidP="003D051F">
      <w:pPr>
        <w:pStyle w:val="BodyText"/>
        <w:rPr>
          <w:lang w:val="x-none"/>
        </w:rPr>
      </w:pPr>
    </w:p>
    <w:p w14:paraId="33179F50" w14:textId="0F2FA8F6" w:rsidR="001F5F30" w:rsidRDefault="00AF2320" w:rsidP="00DC4504">
      <w:pPr>
        <w:pStyle w:val="BodyText"/>
        <w:jc w:val="right"/>
      </w:pPr>
      <w:r>
        <w:rPr>
          <w:noProof/>
        </w:rPr>
        <w:drawing>
          <wp:inline distT="0" distB="0" distL="0" distR="0" wp14:anchorId="6243F591" wp14:editId="54A261B5">
            <wp:extent cx="2257200" cy="1389600"/>
            <wp:effectExtent l="0" t="0" r="0" b="0"/>
            <wp:docPr id="1239340945" name="Picture 1239340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57200" cy="1389600"/>
                    </a:xfrm>
                    <a:prstGeom prst="rect">
                      <a:avLst/>
                    </a:prstGeom>
                    <a:noFill/>
                  </pic:spPr>
                </pic:pic>
              </a:graphicData>
            </a:graphic>
          </wp:inline>
        </w:drawing>
      </w:r>
      <w:r w:rsidR="001F5F30">
        <w:tab/>
      </w:r>
      <w:r w:rsidR="00451F5C">
        <w:tab/>
      </w:r>
      <w:r>
        <w:rPr>
          <w:noProof/>
        </w:rPr>
        <w:drawing>
          <wp:inline distT="0" distB="0" distL="0" distR="0" wp14:anchorId="1F0E8618" wp14:editId="169320BC">
            <wp:extent cx="2570400" cy="1872000"/>
            <wp:effectExtent l="0" t="0" r="0" b="0"/>
            <wp:docPr id="1239340958" name="Picture 1239340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0400" cy="1872000"/>
                    </a:xfrm>
                    <a:prstGeom prst="rect">
                      <a:avLst/>
                    </a:prstGeom>
                    <a:noFill/>
                  </pic:spPr>
                </pic:pic>
              </a:graphicData>
            </a:graphic>
          </wp:inline>
        </w:drawing>
      </w:r>
    </w:p>
    <w:p w14:paraId="10BEB0BD" w14:textId="78EBBDC1" w:rsidR="003D051F" w:rsidRDefault="001F5F30" w:rsidP="00DC4504">
      <w:pPr>
        <w:pStyle w:val="TF"/>
        <w:jc w:val="both"/>
        <w:rPr>
          <w:rFonts w:eastAsia="Times New Roman" w:cs="Times New Roman"/>
          <w:szCs w:val="20"/>
        </w:rPr>
      </w:pPr>
      <w:bookmarkStart w:id="4" w:name="_Ref60908039"/>
      <w:r>
        <w:rPr>
          <w:lang w:val="en-US"/>
        </w:rPr>
        <w:t xml:space="preserve">Figure </w:t>
      </w:r>
      <w:r>
        <w:fldChar w:fldCharType="begin"/>
      </w:r>
      <w:r>
        <w:instrText xml:space="preserve"> SEQ Figure \* ARABIC </w:instrText>
      </w:r>
      <w:r>
        <w:fldChar w:fldCharType="separate"/>
      </w:r>
      <w:r w:rsidR="00D67762">
        <w:rPr>
          <w:noProof/>
        </w:rPr>
        <w:t>3</w:t>
      </w:r>
      <w:r>
        <w:rPr>
          <w:noProof/>
        </w:rPr>
        <w:fldChar w:fldCharType="end"/>
      </w:r>
      <w:bookmarkEnd w:id="4"/>
      <w:r>
        <w:rPr>
          <w:lang w:val="en-US"/>
        </w:rPr>
        <w:t>: Standalone deployment scenarios for ensuring coverage with reuse of FR2 initial access framework</w:t>
      </w:r>
    </w:p>
    <w:p w14:paraId="46896966" w14:textId="6C6B813E" w:rsidR="003D051F" w:rsidRDefault="003D051F" w:rsidP="00DC4504">
      <w:pPr>
        <w:keepNext/>
        <w:tabs>
          <w:tab w:val="center" w:pos="2340"/>
          <w:tab w:val="center" w:pos="7290"/>
        </w:tabs>
        <w:spacing w:line="256" w:lineRule="auto"/>
        <w:contextualSpacing/>
        <w:rPr>
          <w:rFonts w:cs="Arial"/>
          <w:highlight w:val="yellow"/>
        </w:rPr>
      </w:pPr>
      <w:r>
        <w:rPr>
          <w:rFonts w:cs="Arial"/>
        </w:rPr>
        <w:tab/>
      </w:r>
    </w:p>
    <w:p w14:paraId="2AD66369" w14:textId="77777777" w:rsidR="0006513E" w:rsidRDefault="0006513E" w:rsidP="0006513E">
      <w:pPr>
        <w:pStyle w:val="Heading2"/>
      </w:pPr>
      <w:r>
        <w:t>2.1</w:t>
      </w:r>
      <w:r>
        <w:tab/>
        <w:t>SS/PBCH Block Related Aspects</w:t>
      </w:r>
    </w:p>
    <w:p w14:paraId="4A83ED71" w14:textId="1C1ACFC3" w:rsidR="004C65D2" w:rsidRDefault="006463A4" w:rsidP="004C65D2">
      <w:pPr>
        <w:pStyle w:val="Heading3"/>
      </w:pPr>
      <w:r w:rsidRPr="002926A1">
        <w:t>2.1.</w:t>
      </w:r>
      <w:r>
        <w:t>1</w:t>
      </w:r>
      <w:r w:rsidR="004C65D2" w:rsidRPr="002926A1">
        <w:tab/>
        <w:t xml:space="preserve">SSB and initial access related signals/channels in initial BWP </w:t>
      </w:r>
    </w:p>
    <w:p w14:paraId="4238D71A" w14:textId="242F6D3B" w:rsidR="004C65D2" w:rsidRDefault="004C65D2" w:rsidP="004C65D2">
      <w:r>
        <w:t>One of the sub-objectives in the WID is to s</w:t>
      </w:r>
      <w:r w:rsidRPr="006F5968">
        <w:t>tudy additional SCS (240kHz, 480kHz, 960kHz) for SSB, and additional SCS</w:t>
      </w:r>
      <w:r>
        <w:t xml:space="preserve"> </w:t>
      </w:r>
      <w:r w:rsidRPr="006F5968">
        <w:t>(480kHz, 960kHz) for initial access related signals/channels in initial BWP.</w:t>
      </w:r>
      <w:r>
        <w:t xml:space="preserve"> It should be noted that 120 kHz SCS is already agreed to be supported both for SS/PBCH block and </w:t>
      </w:r>
      <w:r w:rsidRPr="006F5968">
        <w:t>initial access related signals/channels in initial BWP</w:t>
      </w:r>
      <w:r>
        <w:t>. We start by analyzing the case of supporting 240 kHz SS/PBCH</w:t>
      </w:r>
      <w:r w:rsidR="00804643">
        <w:t xml:space="preserve"> block</w:t>
      </w:r>
      <w:r>
        <w:t xml:space="preserve"> for initial access.</w:t>
      </w:r>
    </w:p>
    <w:p w14:paraId="19A0CC20" w14:textId="4E234CD5" w:rsidR="004C65D2" w:rsidRDefault="004C65D2" w:rsidP="004C65D2">
      <w:r>
        <w:t>First, we note that the combination of 240 kHz SS/PBCH block and 120 kHz</w:t>
      </w:r>
      <w:r w:rsidR="00804643">
        <w:t xml:space="preserve"> initial BWP</w:t>
      </w:r>
      <w:r>
        <w:t xml:space="preserve"> </w:t>
      </w:r>
      <w:r w:rsidR="00804643">
        <w:t>(</w:t>
      </w:r>
      <w:r>
        <w:t>IBWP</w:t>
      </w:r>
      <w:r w:rsidR="00804643">
        <w:t>)</w:t>
      </w:r>
      <w:r>
        <w:t xml:space="preserve"> is supported </w:t>
      </w:r>
      <w:r w:rsidR="0061451B">
        <w:t xml:space="preserve">in all FR2 bands (n257 – n261) </w:t>
      </w:r>
      <w:r>
        <w:t>since Rel-15</w:t>
      </w:r>
      <w:r w:rsidR="0061451B">
        <w:t xml:space="preserve"> (see </w:t>
      </w:r>
      <w:r w:rsidR="0061451B" w:rsidRPr="00C04A08">
        <w:rPr>
          <w:rFonts w:eastAsia="Yu Mincho"/>
        </w:rPr>
        <w:t>Table 5.4.3.3-1</w:t>
      </w:r>
      <w:r w:rsidR="0061451B">
        <w:rPr>
          <w:rFonts w:eastAsia="Yu Mincho"/>
        </w:rPr>
        <w:t xml:space="preserve"> in </w:t>
      </w:r>
      <w:r w:rsidR="0061451B">
        <w:rPr>
          <w:rFonts w:eastAsia="Yu Mincho"/>
        </w:rPr>
        <w:fldChar w:fldCharType="begin"/>
      </w:r>
      <w:r w:rsidR="0061451B">
        <w:rPr>
          <w:rFonts w:eastAsia="Yu Mincho"/>
        </w:rPr>
        <w:instrText xml:space="preserve"> REF _Ref60847000 \r \h </w:instrText>
      </w:r>
      <w:r w:rsidR="0061451B">
        <w:rPr>
          <w:rFonts w:eastAsia="Yu Mincho"/>
        </w:rPr>
      </w:r>
      <w:r w:rsidR="0061451B">
        <w:rPr>
          <w:rFonts w:eastAsia="Yu Mincho"/>
        </w:rPr>
        <w:fldChar w:fldCharType="separate"/>
      </w:r>
      <w:r w:rsidR="0061451B">
        <w:rPr>
          <w:rFonts w:eastAsia="Yu Mincho"/>
        </w:rPr>
        <w:t>[2]</w:t>
      </w:r>
      <w:r w:rsidR="0061451B">
        <w:rPr>
          <w:rFonts w:eastAsia="Yu Mincho"/>
        </w:rPr>
        <w:fldChar w:fldCharType="end"/>
      </w:r>
      <w:r w:rsidR="0061451B">
        <w:rPr>
          <w:rFonts w:eastAsia="Yu Mincho"/>
        </w:rPr>
        <w:t>)</w:t>
      </w:r>
      <w:r>
        <w:t xml:space="preserve">. </w:t>
      </w:r>
      <w:r w:rsidR="0061451B">
        <w:t xml:space="preserve">In RAN1 </w:t>
      </w:r>
      <w:r w:rsidR="00575BE9">
        <w:t>specifications</w:t>
      </w:r>
      <w:r w:rsidR="0061451B">
        <w:t xml:space="preserve">, </w:t>
      </w:r>
      <w:r>
        <w:t>SSB/COR</w:t>
      </w:r>
      <w:r w:rsidR="00FF6725">
        <w:t>E</w:t>
      </w:r>
      <w:r>
        <w:t>SET0 multiplexing patterns, COR</w:t>
      </w:r>
      <w:r w:rsidR="0061451B">
        <w:t>E</w:t>
      </w:r>
      <w:r>
        <w:t>SET0 configurations, Type0-PDCCH monitoring configurations and default SLIV tables are already available</w:t>
      </w:r>
      <w:r w:rsidR="0061451B">
        <w:t xml:space="preserve"> to support </w:t>
      </w:r>
      <w:r w:rsidR="00575BE9">
        <w:t>operation</w:t>
      </w:r>
      <w:r w:rsidR="0061451B">
        <w:t xml:space="preserve"> in these bands</w:t>
      </w:r>
      <w:r>
        <w:t xml:space="preserve">. </w:t>
      </w:r>
    </w:p>
    <w:p w14:paraId="17D0A06C" w14:textId="50769AD1" w:rsidR="00A5773C" w:rsidRDefault="004C65D2" w:rsidP="004C65D2">
      <w:bookmarkStart w:id="5" w:name="_Hlk61857997"/>
      <w:r>
        <w:t>In addition, 240 kHz SS/PBCH has several advantages compared to 120 kHz SCS. For example, it allows a beam sweep to be completed in half the time compared to 120 kHz SSB</w:t>
      </w:r>
      <w:r w:rsidR="00A5773C">
        <w:t>,</w:t>
      </w:r>
      <w:r>
        <w:t xml:space="preserve"> and</w:t>
      </w:r>
      <w:r w:rsidR="00A5773C">
        <w:t xml:space="preserve"> </w:t>
      </w:r>
      <w:r>
        <w:t xml:space="preserve">as </w:t>
      </w:r>
      <w:r w:rsidRPr="00AF350F">
        <w:t xml:space="preserve">thoroughly </w:t>
      </w:r>
      <w:r>
        <w:t xml:space="preserve">analyzed in </w:t>
      </w:r>
      <w:r w:rsidR="008655CF">
        <w:fldChar w:fldCharType="begin"/>
      </w:r>
      <w:r w:rsidR="008655CF">
        <w:instrText xml:space="preserve"> REF _Ref61361737 \r \h </w:instrText>
      </w:r>
      <w:r w:rsidR="008655CF">
        <w:fldChar w:fldCharType="separate"/>
      </w:r>
      <w:r w:rsidR="008655CF">
        <w:t>[7]</w:t>
      </w:r>
      <w:r w:rsidR="008655CF">
        <w:fldChar w:fldCharType="end"/>
      </w:r>
      <w:r>
        <w:t xml:space="preserve">, a 240 kHz SS/PBCH block allows </w:t>
      </w:r>
      <w:r w:rsidR="00F666D2">
        <w:t xml:space="preserve">a smaller </w:t>
      </w:r>
      <w:r>
        <w:t xml:space="preserve">relative </w:t>
      </w:r>
      <w:r w:rsidR="00BE3AB1">
        <w:t>timing</w:t>
      </w:r>
      <w:r>
        <w:t xml:space="preserve"> error </w:t>
      </w:r>
      <w:r w:rsidR="00575BE9">
        <w:t>for operation in the 52.6 – 71 GHz band</w:t>
      </w:r>
      <w:r w:rsidR="00F666D2">
        <w:t xml:space="preserve"> compared to 120 kHz SSB</w:t>
      </w:r>
      <w:r>
        <w:t xml:space="preserve">. </w:t>
      </w:r>
      <w:r w:rsidR="00A5773C">
        <w:t xml:space="preserve">Moreover, we show in </w:t>
      </w:r>
      <w:r w:rsidR="00F35876">
        <w:fldChar w:fldCharType="begin"/>
      </w:r>
      <w:r w:rsidR="00F35876">
        <w:instrText xml:space="preserve"> REF _Ref61860387 \r \h </w:instrText>
      </w:r>
      <w:r w:rsidR="00F35876">
        <w:fldChar w:fldCharType="separate"/>
      </w:r>
      <w:r w:rsidR="00F35876">
        <w:t>[8]</w:t>
      </w:r>
      <w:r w:rsidR="00F35876">
        <w:fldChar w:fldCharType="end"/>
      </w:r>
      <w:r w:rsidR="00A5773C">
        <w:t xml:space="preserve"> that for the case of 960 kHz for data/control, use of 240 kHz SCS for SS/PBCH block </w:t>
      </w:r>
      <w:r w:rsidR="00F666D2">
        <w:t xml:space="preserve">can </w:t>
      </w:r>
      <w:r w:rsidR="00A5773C">
        <w:t xml:space="preserve">allow </w:t>
      </w:r>
      <w:r w:rsidR="00FA487B">
        <w:t xml:space="preserve">a </w:t>
      </w:r>
      <w:r w:rsidR="00A5773C">
        <w:t xml:space="preserve">similar </w:t>
      </w:r>
      <w:r w:rsidR="00F666D2">
        <w:t xml:space="preserve">relative </w:t>
      </w:r>
      <w:r w:rsidR="00BE3AB1">
        <w:t>UE initial timing</w:t>
      </w:r>
      <w:r w:rsidR="00F666D2">
        <w:t xml:space="preserve"> error </w:t>
      </w:r>
      <w:r w:rsidR="00FA487B">
        <w:t>requirement</w:t>
      </w:r>
      <w:r w:rsidR="00F666D2">
        <w:t xml:space="preserve"> as for FR1 (</w:t>
      </w:r>
      <w:r w:rsidR="00FA487B">
        <w:t xml:space="preserve">minimum </w:t>
      </w:r>
      <w:r w:rsidR="00F666D2">
        <w:t xml:space="preserve">0.5%). </w:t>
      </w:r>
      <w:r w:rsidR="00A5773C">
        <w:t>Relative UE initial timing error is defined as T</w:t>
      </w:r>
      <w:r w:rsidR="00A5773C" w:rsidRPr="00DC4504">
        <w:rPr>
          <w:vertAlign w:val="subscript"/>
        </w:rPr>
        <w:t>e</w:t>
      </w:r>
      <w:r w:rsidR="00A5773C">
        <w:t xml:space="preserve"> expressed as a percentage of 1/SCS</w:t>
      </w:r>
      <w:r w:rsidR="00A5773C" w:rsidRPr="00DC4504">
        <w:rPr>
          <w:vertAlign w:val="subscript"/>
        </w:rPr>
        <w:t>SSB</w:t>
      </w:r>
      <w:r w:rsidR="00A5773C">
        <w:t>.</w:t>
      </w:r>
    </w:p>
    <w:bookmarkEnd w:id="5"/>
    <w:p w14:paraId="1890739C" w14:textId="6D1BB833" w:rsidR="008517A7" w:rsidRDefault="008517A7" w:rsidP="004C65D2">
      <w:r>
        <w:t xml:space="preserve">While the issue of SSB search complexity has been discussed during the study item, we show here that the search complexity for operation in the 52.6 – 71 GHz band </w:t>
      </w:r>
      <w:r w:rsidR="0034407C">
        <w:t xml:space="preserve">while supporting both 120 kHz and 240 kHz SSB as in FR2 </w:t>
      </w:r>
      <w:r>
        <w:t xml:space="preserve">can be maintained on the same level as per band in FR2. The largest defined FR2 band is n259, spanning 4 GHz (see Table 5.2.1 in </w:t>
      </w:r>
      <w:r>
        <w:fldChar w:fldCharType="begin"/>
      </w:r>
      <w:r>
        <w:instrText xml:space="preserve"> REF _Ref60847000 \r \h </w:instrText>
      </w:r>
      <w:r>
        <w:fldChar w:fldCharType="separate"/>
      </w:r>
      <w:r>
        <w:t>[2]</w:t>
      </w:r>
      <w:r>
        <w:fldChar w:fldCharType="end"/>
      </w:r>
      <w:r>
        <w:t xml:space="preserve">). </w:t>
      </w:r>
      <w:r w:rsidR="00FB6896">
        <w:t>For</w:t>
      </w:r>
      <w:r w:rsidR="004E2341">
        <w:t xml:space="preserve"> this band (see Table 5.4.3.3-1 in </w:t>
      </w:r>
      <w:r w:rsidR="004E2341">
        <w:fldChar w:fldCharType="begin"/>
      </w:r>
      <w:r w:rsidR="004E2341">
        <w:instrText xml:space="preserve"> REF _Ref60847000 \r \h </w:instrText>
      </w:r>
      <w:r w:rsidR="004E2341">
        <w:fldChar w:fldCharType="separate"/>
      </w:r>
      <w:r w:rsidR="004E2341">
        <w:t>[2]</w:t>
      </w:r>
      <w:r w:rsidR="004E2341">
        <w:fldChar w:fldCharType="end"/>
      </w:r>
      <w:r w:rsidR="004E2341">
        <w:t xml:space="preserve">) </w:t>
      </w:r>
      <w:r w:rsidR="00FB6896">
        <w:t xml:space="preserve">there are </w:t>
      </w:r>
      <w:r w:rsidR="004E2341">
        <w:t>230 possible GSCN values for 120 kHz SCS</w:t>
      </w:r>
      <w:r w:rsidR="00957A2B">
        <w:t xml:space="preserve"> (every sync raster point is valid)</w:t>
      </w:r>
      <w:r w:rsidR="004E2341">
        <w:t xml:space="preserve"> and 114 possible GSCN values for 240 kHz SCS</w:t>
      </w:r>
      <w:r w:rsidR="00957A2B">
        <w:t xml:space="preserve"> (every second sync raster point is valid)</w:t>
      </w:r>
      <w:r w:rsidR="004E2341">
        <w:t xml:space="preserve">, </w:t>
      </w:r>
      <w:r w:rsidR="00FB6896">
        <w:t xml:space="preserve">resulting </w:t>
      </w:r>
      <w:r w:rsidR="004E2341">
        <w:t xml:space="preserve">in </w:t>
      </w:r>
      <w:r w:rsidR="00FB6896">
        <w:t>a</w:t>
      </w:r>
      <w:r w:rsidR="004E2341">
        <w:t xml:space="preserve"> total </w:t>
      </w:r>
      <w:r w:rsidR="00FB6896">
        <w:t xml:space="preserve">of </w:t>
      </w:r>
      <w:r w:rsidR="004E2341">
        <w:t xml:space="preserve">344 possible GSCN values to search. </w:t>
      </w:r>
    </w:p>
    <w:p w14:paraId="5AC1A047" w14:textId="3031F659" w:rsidR="00BD1B28" w:rsidRDefault="00345EA9" w:rsidP="004C65D2">
      <w:r>
        <w:t>While t</w:t>
      </w:r>
      <w:r w:rsidR="00957A2B">
        <w:t>he sync raster granularity and minimum channel bandwidth are topics that will be discussed and defined in RAN4</w:t>
      </w:r>
      <w:r>
        <w:t>,</w:t>
      </w:r>
      <w:r w:rsidR="00957A2B">
        <w:t xml:space="preserve"> </w:t>
      </w:r>
      <w:r>
        <w:t>f</w:t>
      </w:r>
      <w:r w:rsidR="00957A2B">
        <w:t xml:space="preserve">or the sake of SSB search complexity discussion, a few options are </w:t>
      </w:r>
      <w:r w:rsidR="00FB6896">
        <w:t>considered</w:t>
      </w:r>
      <w:r w:rsidR="00957A2B">
        <w:t xml:space="preserve"> here as examples. For FR2, the minimum bandwidth is 50 MHz and the sync raster granularity is 17.28 MHz. </w:t>
      </w:r>
      <w:r>
        <w:t xml:space="preserve">Considering all FR2 bands together, the total number of sync raster points to search is 1206. </w:t>
      </w:r>
      <w:r w:rsidR="006F467C">
        <w:t xml:space="preserve">For the much larger band </w:t>
      </w:r>
      <w:r w:rsidR="00FB6896">
        <w:t>for</w:t>
      </w:r>
      <w:r w:rsidR="00C1610B">
        <w:t xml:space="preserve"> </w:t>
      </w:r>
      <w:r w:rsidR="006F467C">
        <w:t xml:space="preserve">above 52.6 GHz (approximately 14 GHz), the assumptions used in the examples are to use </w:t>
      </w:r>
      <w:r w:rsidR="006F467C">
        <w:lastRenderedPageBreak/>
        <w:t xml:space="preserve">100 MHz as minimum carrier bandwidth </w:t>
      </w:r>
      <w:r w:rsidR="00FB6896">
        <w:t xml:space="preserve">which allows </w:t>
      </w:r>
      <w:r w:rsidR="006F467C">
        <w:t xml:space="preserve">2x17.28 </w:t>
      </w:r>
      <w:r w:rsidR="00BD1B28">
        <w:t>= 34.56</w:t>
      </w:r>
      <w:r w:rsidR="006F467C">
        <w:t xml:space="preserve"> MHz </w:t>
      </w:r>
      <w:r w:rsidR="00FB6896">
        <w:t xml:space="preserve">to be used </w:t>
      </w:r>
      <w:r w:rsidR="006F467C">
        <w:t xml:space="preserve">as the basic sync raster granularity. As can be observed in </w:t>
      </w:r>
      <w:r w:rsidR="004D4D22">
        <w:fldChar w:fldCharType="begin"/>
      </w:r>
      <w:r w:rsidR="004D4D22">
        <w:instrText xml:space="preserve"> REF _Ref60985963 \h </w:instrText>
      </w:r>
      <w:r w:rsidR="004D4D22">
        <w:fldChar w:fldCharType="separate"/>
      </w:r>
      <w:r w:rsidR="004D4D22">
        <w:t xml:space="preserve">Table </w:t>
      </w:r>
      <w:r w:rsidR="004D4D22">
        <w:rPr>
          <w:noProof/>
        </w:rPr>
        <w:t>1</w:t>
      </w:r>
      <w:r w:rsidR="004D4D22">
        <w:fldChar w:fldCharType="end"/>
      </w:r>
      <w:r w:rsidR="006F467C">
        <w:t>, the SSB search complexity is increased compared to</w:t>
      </w:r>
      <w:r w:rsidR="006F4FB1">
        <w:t xml:space="preserve"> </w:t>
      </w:r>
      <w:r>
        <w:t xml:space="preserve">the </w:t>
      </w:r>
      <w:r w:rsidR="006F4FB1">
        <w:t>FR2 n259 band</w:t>
      </w:r>
      <w:r>
        <w:t xml:space="preserve"> </w:t>
      </w:r>
      <w:r w:rsidR="00BD1B28">
        <w:t>assuming that the UE searches for 120 kHz</w:t>
      </w:r>
      <w:r w:rsidR="00C56C45">
        <w:t xml:space="preserve"> SCS</w:t>
      </w:r>
      <w:r w:rsidR="00BD1B28">
        <w:t xml:space="preserve"> SSB on 34.56 MHz granularity and for 240 kHz</w:t>
      </w:r>
      <w:r w:rsidR="00C56C45">
        <w:t xml:space="preserve"> SCS SSB</w:t>
      </w:r>
      <w:r w:rsidR="00BD1B28">
        <w:t xml:space="preserve"> on 2x34.56 MHz granularity</w:t>
      </w:r>
      <w:r w:rsidR="006F467C">
        <w:t>.</w:t>
      </w:r>
      <w:r w:rsidR="006F4FB1">
        <w:t xml:space="preserve"> </w:t>
      </w:r>
      <w:r w:rsidR="00BD1B28">
        <w:t xml:space="preserve">This pessimistically assumes that in FR2, the UE only searches a single band (band n259) – if it searches more than one FR2 band, there </w:t>
      </w:r>
      <w:r w:rsidR="00670523">
        <w:t>can be no</w:t>
      </w:r>
      <w:r w:rsidR="00BD1B28">
        <w:t xml:space="preserve"> increase in total complexity.</w:t>
      </w:r>
    </w:p>
    <w:p w14:paraId="1731B08A" w14:textId="7E54C389" w:rsidR="00CC3FC6" w:rsidRDefault="00C1610B" w:rsidP="004C65D2">
      <w:r>
        <w:t xml:space="preserve">It is still applicable to discuss </w:t>
      </w:r>
      <w:r w:rsidR="00735DC8">
        <w:t>how to reduce the SSB search complexity</w:t>
      </w:r>
      <w:r>
        <w:t>, and a few options</w:t>
      </w:r>
      <w:r w:rsidR="00735DC8">
        <w:t xml:space="preserve"> are </w:t>
      </w:r>
      <w:r w:rsidR="006F4FB1">
        <w:t>listed in the table</w:t>
      </w:r>
      <w:r w:rsidR="0034407C">
        <w:t xml:space="preserve"> (Options 1, 2, 3)</w:t>
      </w:r>
      <w:r w:rsidR="006F4FB1">
        <w:t>.</w:t>
      </w:r>
      <w:r w:rsidR="004D4D22">
        <w:t xml:space="preserve"> </w:t>
      </w:r>
      <w:r w:rsidR="0007525E">
        <w:t>With the same number of valid GSCN values per minimum carrier bandwidth as in FR2</w:t>
      </w:r>
      <w:r w:rsidR="0034407C">
        <w:t xml:space="preserve"> (Options 1 and 3)</w:t>
      </w:r>
      <w:r w:rsidR="0007525E">
        <w:t xml:space="preserve">, the same flexibility in terms of ARFCN selection is maintained and the full FR2 initial access procedures can be re-used, including Type0-PDCCH search space and monitoring occasion tables. </w:t>
      </w:r>
      <w:r w:rsidR="0034407C">
        <w:t xml:space="preserve">We emphasize that for </w:t>
      </w:r>
      <w:r w:rsidR="00FB6896">
        <w:t>Option 1 and 3</w:t>
      </w:r>
      <w:r w:rsidR="0034407C">
        <w:t xml:space="preserve">, the total search complexity </w:t>
      </w:r>
      <w:r w:rsidR="00670523">
        <w:t xml:space="preserve">for the 14 GHz band </w:t>
      </w:r>
      <w:r w:rsidR="0034407C">
        <w:t xml:space="preserve">is </w:t>
      </w:r>
      <w:r w:rsidR="00FB6896">
        <w:t>actually</w:t>
      </w:r>
      <w:r w:rsidR="0034407C">
        <w:t xml:space="preserve"> </w:t>
      </w:r>
      <w:r w:rsidR="0034407C" w:rsidRPr="00DC4504">
        <w:rPr>
          <w:u w:val="single"/>
        </w:rPr>
        <w:t>less</w:t>
      </w:r>
      <w:r w:rsidR="0034407C">
        <w:t xml:space="preserve"> than for the largest FR2 band (n259)</w:t>
      </w:r>
      <w:r w:rsidR="00BD1B28">
        <w:t>, meaning that it is feasible to support both 120 kHz and 240 kHz</w:t>
      </w:r>
      <w:r w:rsidR="00C56C45">
        <w:t xml:space="preserve"> SCS</w:t>
      </w:r>
      <w:r w:rsidR="00BD1B28">
        <w:t xml:space="preserve"> SSB without a complexity increase compared to FR2.</w:t>
      </w:r>
    </w:p>
    <w:p w14:paraId="26AA258C" w14:textId="77777777" w:rsidR="00FB6896" w:rsidRPr="00512993" w:rsidRDefault="00FB6896" w:rsidP="00FB6896">
      <w:pPr>
        <w:pStyle w:val="Proposal"/>
      </w:pPr>
      <w:bookmarkStart w:id="6" w:name="_Ref61762180"/>
      <w:bookmarkStart w:id="7" w:name="_Toc61860310"/>
      <w:r>
        <w:t>Like in Rel-15/16 FR2, f</w:t>
      </w:r>
      <w:r w:rsidRPr="00512993">
        <w:t>or initial access (PCell), support 240 kHz</w:t>
      </w:r>
      <w:r>
        <w:t xml:space="preserve"> SCS for</w:t>
      </w:r>
      <w:r w:rsidRPr="00512993">
        <w:t xml:space="preserve"> SS</w:t>
      </w:r>
      <w:r>
        <w:t>/P</w:t>
      </w:r>
      <w:r w:rsidRPr="00512993">
        <w:t>B</w:t>
      </w:r>
      <w:r>
        <w:t>CH block</w:t>
      </w:r>
      <w:r w:rsidRPr="00512993">
        <w:t xml:space="preserve"> in an initial BWP (in addition to the already supported 120 kHz) and </w:t>
      </w:r>
      <w:bookmarkStart w:id="8" w:name="_Hlk61762211"/>
      <w:r w:rsidRPr="00512993">
        <w:t>120 kHz</w:t>
      </w:r>
      <w:r>
        <w:t xml:space="preserve"> SCS</w:t>
      </w:r>
      <w:r w:rsidRPr="00512993">
        <w:t xml:space="preserve"> for initial access related signals/channels in an initial BWP</w:t>
      </w:r>
      <w:bookmarkEnd w:id="8"/>
      <w:r>
        <w:t>.</w:t>
      </w:r>
      <w:bookmarkEnd w:id="6"/>
      <w:bookmarkEnd w:id="7"/>
    </w:p>
    <w:p w14:paraId="140E1574" w14:textId="77777777" w:rsidR="00FB6896" w:rsidRDefault="00FB6896" w:rsidP="004C65D2"/>
    <w:p w14:paraId="052307C7" w14:textId="10636E2C" w:rsidR="006F4FB1" w:rsidRDefault="006F4FB1" w:rsidP="00DC4504">
      <w:pPr>
        <w:pStyle w:val="Caption"/>
      </w:pPr>
      <w:bookmarkStart w:id="9" w:name="_Ref60985963"/>
      <w:r>
        <w:t xml:space="preserve">Table </w:t>
      </w:r>
      <w:r>
        <w:fldChar w:fldCharType="begin"/>
      </w:r>
      <w:r>
        <w:instrText xml:space="preserve"> SEQ Table \* ARABIC </w:instrText>
      </w:r>
      <w:r>
        <w:fldChar w:fldCharType="separate"/>
      </w:r>
      <w:r>
        <w:rPr>
          <w:noProof/>
        </w:rPr>
        <w:t>1</w:t>
      </w:r>
      <w:r>
        <w:fldChar w:fldCharType="end"/>
      </w:r>
      <w:bookmarkEnd w:id="9"/>
      <w:r>
        <w:t xml:space="preserve"> SSB search complexity overview</w:t>
      </w:r>
    </w:p>
    <w:tbl>
      <w:tblPr>
        <w:tblStyle w:val="TableGrid"/>
        <w:tblW w:w="10060" w:type="dxa"/>
        <w:tblLook w:val="04A0" w:firstRow="1" w:lastRow="0" w:firstColumn="1" w:lastColumn="0" w:noHBand="0" w:noVBand="1"/>
      </w:tblPr>
      <w:tblGrid>
        <w:gridCol w:w="2122"/>
        <w:gridCol w:w="1134"/>
        <w:gridCol w:w="2521"/>
        <w:gridCol w:w="1448"/>
        <w:gridCol w:w="2835"/>
      </w:tblGrid>
      <w:tr w:rsidR="00CC3FC6" w14:paraId="026017A1" w14:textId="77777777" w:rsidTr="002C0724">
        <w:tc>
          <w:tcPr>
            <w:tcW w:w="2122" w:type="dxa"/>
          </w:tcPr>
          <w:p w14:paraId="78EB6617" w14:textId="77777777" w:rsidR="00CC3FC6" w:rsidRDefault="00CC3FC6" w:rsidP="004C65D2"/>
        </w:tc>
        <w:tc>
          <w:tcPr>
            <w:tcW w:w="1134" w:type="dxa"/>
          </w:tcPr>
          <w:p w14:paraId="79B869A0" w14:textId="640E6B6E" w:rsidR="00CC3FC6" w:rsidRDefault="00CC3FC6" w:rsidP="004C65D2">
            <w:r>
              <w:t>Min BW</w:t>
            </w:r>
          </w:p>
        </w:tc>
        <w:tc>
          <w:tcPr>
            <w:tcW w:w="2521" w:type="dxa"/>
          </w:tcPr>
          <w:p w14:paraId="32B92745" w14:textId="02B4CA96" w:rsidR="00CC3FC6" w:rsidRDefault="00CC3FC6" w:rsidP="004C65D2">
            <w:r>
              <w:t>Sync raster granularity</w:t>
            </w:r>
          </w:p>
        </w:tc>
        <w:tc>
          <w:tcPr>
            <w:tcW w:w="1448" w:type="dxa"/>
          </w:tcPr>
          <w:p w14:paraId="04245D8F" w14:textId="1F79333A" w:rsidR="00CC3FC6" w:rsidRDefault="00CC3FC6" w:rsidP="004C65D2">
            <w:r>
              <w:t>Total SSB search complexity</w:t>
            </w:r>
          </w:p>
        </w:tc>
        <w:tc>
          <w:tcPr>
            <w:tcW w:w="2835" w:type="dxa"/>
          </w:tcPr>
          <w:p w14:paraId="0225E21D" w14:textId="557F8E6C" w:rsidR="00CC3FC6" w:rsidRDefault="00CC3FC6" w:rsidP="004C65D2">
            <w:r>
              <w:t>Comment</w:t>
            </w:r>
          </w:p>
        </w:tc>
      </w:tr>
      <w:tr w:rsidR="00CC3FC6" w14:paraId="63F211A8" w14:textId="77777777" w:rsidTr="002C0724">
        <w:tc>
          <w:tcPr>
            <w:tcW w:w="2122" w:type="dxa"/>
          </w:tcPr>
          <w:p w14:paraId="3B772B98" w14:textId="4E827C57" w:rsidR="00CC3FC6" w:rsidRDefault="00CC3FC6" w:rsidP="004C65D2">
            <w:r>
              <w:t xml:space="preserve">FR2 </w:t>
            </w:r>
          </w:p>
        </w:tc>
        <w:tc>
          <w:tcPr>
            <w:tcW w:w="1134" w:type="dxa"/>
          </w:tcPr>
          <w:p w14:paraId="65D04838" w14:textId="1CC221A5" w:rsidR="00CC3FC6" w:rsidRDefault="00CC3FC6" w:rsidP="004C65D2">
            <w:r>
              <w:t>50 MHz</w:t>
            </w:r>
          </w:p>
        </w:tc>
        <w:tc>
          <w:tcPr>
            <w:tcW w:w="2521" w:type="dxa"/>
          </w:tcPr>
          <w:p w14:paraId="026F7506" w14:textId="6D650887" w:rsidR="00CC3FC6" w:rsidRDefault="00B03A1F" w:rsidP="004C65D2">
            <w:r>
              <w:t>17.28 MHz</w:t>
            </w:r>
          </w:p>
        </w:tc>
        <w:tc>
          <w:tcPr>
            <w:tcW w:w="1448" w:type="dxa"/>
          </w:tcPr>
          <w:p w14:paraId="08E91125" w14:textId="46B688E7" w:rsidR="00CC3FC6" w:rsidRDefault="00C008FD" w:rsidP="004C65D2">
            <w:r>
              <w:t>344</w:t>
            </w:r>
          </w:p>
        </w:tc>
        <w:tc>
          <w:tcPr>
            <w:tcW w:w="2835" w:type="dxa"/>
          </w:tcPr>
          <w:p w14:paraId="1F8DEE27" w14:textId="3CABC8E9" w:rsidR="00CC3FC6" w:rsidRDefault="00CC3FC6" w:rsidP="004C65D2">
            <w:r>
              <w:t>For largest FR2 band</w:t>
            </w:r>
            <w:r w:rsidR="0034407C">
              <w:t xml:space="preserve"> (n259</w:t>
            </w:r>
            <w:r w:rsidR="00670523">
              <w:t xml:space="preserve"> = 4 GHz).</w:t>
            </w:r>
          </w:p>
          <w:p w14:paraId="566D3CF1" w14:textId="77777777" w:rsidR="00C008FD" w:rsidRDefault="00CC3FC6" w:rsidP="004C65D2">
            <w:r>
              <w:t xml:space="preserve">SSB search complexity for all FR2 bands: </w:t>
            </w:r>
            <w:r w:rsidR="00C008FD">
              <w:t>1206</w:t>
            </w:r>
          </w:p>
          <w:p w14:paraId="70436121" w14:textId="5210D746" w:rsidR="00B03A1F" w:rsidRDefault="00B03A1F" w:rsidP="004C65D2">
            <w:r>
              <w:t>At least 2 valid GSCN per 50 MHz carrier</w:t>
            </w:r>
          </w:p>
        </w:tc>
      </w:tr>
      <w:tr w:rsidR="00CC3FC6" w14:paraId="575B3831" w14:textId="77777777" w:rsidTr="002C0724">
        <w:tc>
          <w:tcPr>
            <w:tcW w:w="2122" w:type="dxa"/>
          </w:tcPr>
          <w:p w14:paraId="589C537D" w14:textId="52489F4A" w:rsidR="00CC3FC6" w:rsidRDefault="00CC3FC6" w:rsidP="004C65D2">
            <w:r>
              <w:t>Baseline option</w:t>
            </w:r>
            <w:r w:rsidR="00670523">
              <w:t xml:space="preserve"> for 57 – 71 GHz band</w:t>
            </w:r>
          </w:p>
        </w:tc>
        <w:tc>
          <w:tcPr>
            <w:tcW w:w="1134" w:type="dxa"/>
          </w:tcPr>
          <w:p w14:paraId="003BCD1D" w14:textId="41C403B4" w:rsidR="00CC3FC6" w:rsidRDefault="00C008FD" w:rsidP="004C65D2">
            <w:r>
              <w:t>100 MHz</w:t>
            </w:r>
          </w:p>
        </w:tc>
        <w:tc>
          <w:tcPr>
            <w:tcW w:w="2521" w:type="dxa"/>
          </w:tcPr>
          <w:p w14:paraId="113877D4" w14:textId="68D9CC00" w:rsidR="00CC3FC6" w:rsidRDefault="00C008FD" w:rsidP="004C65D2">
            <w:r>
              <w:t>2x17.28 = 34.56 MHz</w:t>
            </w:r>
          </w:p>
        </w:tc>
        <w:tc>
          <w:tcPr>
            <w:tcW w:w="1448" w:type="dxa"/>
          </w:tcPr>
          <w:p w14:paraId="3E59AC86" w14:textId="42B9229C" w:rsidR="00B03A1F" w:rsidRDefault="00B03A1F" w:rsidP="004C65D2">
            <w:r>
              <w:t>~600</w:t>
            </w:r>
          </w:p>
        </w:tc>
        <w:tc>
          <w:tcPr>
            <w:tcW w:w="2835" w:type="dxa"/>
          </w:tcPr>
          <w:p w14:paraId="2764CB2A" w14:textId="02EFBA9E" w:rsidR="00670523" w:rsidRDefault="00670523" w:rsidP="004C65D2">
            <w:r>
              <w:t>Assumes 14 GHz band</w:t>
            </w:r>
          </w:p>
          <w:p w14:paraId="113C74D8" w14:textId="1DFDA9B8" w:rsidR="00CC3FC6" w:rsidRDefault="00B03A1F" w:rsidP="004C65D2">
            <w:r>
              <w:t>At least 2 valid GSCN per 100 MHz carrier</w:t>
            </w:r>
          </w:p>
        </w:tc>
      </w:tr>
      <w:tr w:rsidR="00CC3FC6" w14:paraId="1ABB5163" w14:textId="77777777" w:rsidTr="002C0724">
        <w:tc>
          <w:tcPr>
            <w:tcW w:w="2122" w:type="dxa"/>
          </w:tcPr>
          <w:p w14:paraId="618792B4" w14:textId="45C5FFCB" w:rsidR="00CC3FC6" w:rsidRDefault="00CC3FC6" w:rsidP="004C65D2">
            <w:r>
              <w:t>Option 1 (</w:t>
            </w:r>
            <w:r w:rsidR="00C008FD">
              <w:t>increase min BW</w:t>
            </w:r>
            <w:r>
              <w:t>)</w:t>
            </w:r>
          </w:p>
        </w:tc>
        <w:tc>
          <w:tcPr>
            <w:tcW w:w="1134" w:type="dxa"/>
          </w:tcPr>
          <w:p w14:paraId="2913FA9A" w14:textId="2657E1EF" w:rsidR="00CC3FC6" w:rsidRDefault="00C008FD" w:rsidP="004C65D2">
            <w:r>
              <w:t>200 MHz</w:t>
            </w:r>
          </w:p>
        </w:tc>
        <w:tc>
          <w:tcPr>
            <w:tcW w:w="2521" w:type="dxa"/>
          </w:tcPr>
          <w:p w14:paraId="7E81BF68" w14:textId="595FE610" w:rsidR="00CC3FC6" w:rsidRDefault="00C008FD" w:rsidP="004C65D2">
            <w:r>
              <w:t>4x17.28 = 69.12 MHz</w:t>
            </w:r>
          </w:p>
        </w:tc>
        <w:tc>
          <w:tcPr>
            <w:tcW w:w="1448" w:type="dxa"/>
          </w:tcPr>
          <w:p w14:paraId="5298F456" w14:textId="58B1C4A1" w:rsidR="00CC3FC6" w:rsidRDefault="00B03A1F" w:rsidP="004C65D2">
            <w:r>
              <w:t>~300</w:t>
            </w:r>
          </w:p>
        </w:tc>
        <w:tc>
          <w:tcPr>
            <w:tcW w:w="2835" w:type="dxa"/>
          </w:tcPr>
          <w:p w14:paraId="50E27550" w14:textId="5ED013C7" w:rsidR="00CC3FC6" w:rsidRDefault="00B03A1F" w:rsidP="004C65D2">
            <w:r>
              <w:t>At least 2 valid GSCN per 200 MHz carrier</w:t>
            </w:r>
          </w:p>
        </w:tc>
      </w:tr>
      <w:tr w:rsidR="00CC3FC6" w14:paraId="060AE649" w14:textId="77777777" w:rsidTr="002C0724">
        <w:tc>
          <w:tcPr>
            <w:tcW w:w="2122" w:type="dxa"/>
          </w:tcPr>
          <w:p w14:paraId="5773403A" w14:textId="79801F7B" w:rsidR="00CC3FC6" w:rsidRDefault="00CC3FC6" w:rsidP="004C65D2">
            <w:r>
              <w:t>Option 2 (</w:t>
            </w:r>
            <w:r w:rsidR="00C008FD">
              <w:t xml:space="preserve">reduce </w:t>
            </w:r>
            <w:r w:rsidR="0034407C">
              <w:t># of</w:t>
            </w:r>
            <w:r w:rsidR="00C008FD">
              <w:t xml:space="preserve"> sync raster</w:t>
            </w:r>
            <w:r w:rsidR="0034407C">
              <w:t xml:space="preserve"> points per min BW</w:t>
            </w:r>
            <w:r w:rsidR="00C008FD">
              <w:t>)</w:t>
            </w:r>
          </w:p>
        </w:tc>
        <w:tc>
          <w:tcPr>
            <w:tcW w:w="1134" w:type="dxa"/>
          </w:tcPr>
          <w:p w14:paraId="7B73C343" w14:textId="7D481FEE" w:rsidR="00CC3FC6" w:rsidRDefault="00C008FD" w:rsidP="004C65D2">
            <w:r>
              <w:t>100 MHz</w:t>
            </w:r>
          </w:p>
        </w:tc>
        <w:tc>
          <w:tcPr>
            <w:tcW w:w="2521" w:type="dxa"/>
          </w:tcPr>
          <w:p w14:paraId="2316EB82" w14:textId="68F46EDF" w:rsidR="00CC3FC6" w:rsidRDefault="00C008FD" w:rsidP="004C65D2">
            <w:r>
              <w:t>4x17.28 = 69.12 MHz</w:t>
            </w:r>
          </w:p>
        </w:tc>
        <w:tc>
          <w:tcPr>
            <w:tcW w:w="1448" w:type="dxa"/>
          </w:tcPr>
          <w:p w14:paraId="4155B1F8" w14:textId="136B7575" w:rsidR="00CC3FC6" w:rsidRDefault="00B03A1F" w:rsidP="004C65D2">
            <w:r>
              <w:t>~300</w:t>
            </w:r>
          </w:p>
        </w:tc>
        <w:tc>
          <w:tcPr>
            <w:tcW w:w="2835" w:type="dxa"/>
          </w:tcPr>
          <w:p w14:paraId="0F994579" w14:textId="3BCE8ED2" w:rsidR="00CC3FC6" w:rsidRDefault="00B03A1F" w:rsidP="004C65D2">
            <w:r>
              <w:t>At least 1 valid GSCN per 100 MHz carrier</w:t>
            </w:r>
          </w:p>
        </w:tc>
      </w:tr>
      <w:tr w:rsidR="00C008FD" w14:paraId="1C3853B6" w14:textId="77777777" w:rsidTr="002C0724">
        <w:tc>
          <w:tcPr>
            <w:tcW w:w="2122" w:type="dxa"/>
          </w:tcPr>
          <w:p w14:paraId="43EAA3EA" w14:textId="1EEF1BB4" w:rsidR="00C008FD" w:rsidRDefault="00C008FD" w:rsidP="004C65D2">
            <w:r>
              <w:t>Option 3 (further increase of min BW)</w:t>
            </w:r>
          </w:p>
        </w:tc>
        <w:tc>
          <w:tcPr>
            <w:tcW w:w="1134" w:type="dxa"/>
          </w:tcPr>
          <w:p w14:paraId="1B9F1603" w14:textId="07D3A329" w:rsidR="00C008FD" w:rsidRDefault="00C008FD" w:rsidP="004C65D2">
            <w:r>
              <w:t>400 MHz</w:t>
            </w:r>
          </w:p>
        </w:tc>
        <w:tc>
          <w:tcPr>
            <w:tcW w:w="2521" w:type="dxa"/>
          </w:tcPr>
          <w:p w14:paraId="411C27F0" w14:textId="114E44CA" w:rsidR="00C008FD" w:rsidRDefault="00C008FD" w:rsidP="004C65D2">
            <w:r>
              <w:t>8x17.28 = 138.24 MHz</w:t>
            </w:r>
          </w:p>
        </w:tc>
        <w:tc>
          <w:tcPr>
            <w:tcW w:w="1448" w:type="dxa"/>
          </w:tcPr>
          <w:p w14:paraId="7034FA86" w14:textId="143AF787" w:rsidR="00C008FD" w:rsidRDefault="00B03A1F" w:rsidP="004C65D2">
            <w:r>
              <w:t>~150</w:t>
            </w:r>
          </w:p>
        </w:tc>
        <w:tc>
          <w:tcPr>
            <w:tcW w:w="2835" w:type="dxa"/>
          </w:tcPr>
          <w:p w14:paraId="70C3350B" w14:textId="25C22237" w:rsidR="00B03A1F" w:rsidRDefault="00B03A1F" w:rsidP="004C65D2">
            <w:r>
              <w:t>At least 2 valid GSCN per 400 MHz carrier</w:t>
            </w:r>
          </w:p>
          <w:p w14:paraId="3B7BECCD" w14:textId="7E49D026" w:rsidR="00C008FD" w:rsidRDefault="00B03A1F" w:rsidP="004C65D2">
            <w:r>
              <w:t>Might be too large minimum BW</w:t>
            </w:r>
          </w:p>
        </w:tc>
      </w:tr>
    </w:tbl>
    <w:p w14:paraId="1E63F769" w14:textId="77777777" w:rsidR="00CC3FC6" w:rsidRDefault="00CC3FC6" w:rsidP="004C65D2"/>
    <w:p w14:paraId="52FFB058" w14:textId="30F7DE62" w:rsidR="00512993" w:rsidRDefault="006463A4" w:rsidP="006463A4">
      <w:pPr>
        <w:pStyle w:val="Heading3"/>
      </w:pPr>
      <w:bookmarkStart w:id="10" w:name="_Ref61623251"/>
      <w:r w:rsidRPr="009A1D6E">
        <w:t>2.1.</w:t>
      </w:r>
      <w:r w:rsidR="004C65D2" w:rsidRPr="009A1D6E">
        <w:t>2</w:t>
      </w:r>
      <w:r w:rsidRPr="009A1D6E">
        <w:tab/>
      </w:r>
      <w:r w:rsidR="008E6747" w:rsidRPr="009A1D6E">
        <w:t>SSB for cases other than initial access</w:t>
      </w:r>
      <w:bookmarkEnd w:id="10"/>
    </w:p>
    <w:p w14:paraId="14567A3A" w14:textId="19EB5A8D" w:rsidR="00123E9F" w:rsidRDefault="00FB6896" w:rsidP="00123E9F">
      <w:pPr>
        <w:rPr>
          <w:lang w:eastAsia="ja-JP"/>
        </w:rPr>
      </w:pPr>
      <w:bookmarkStart w:id="11" w:name="_Hlk61615623"/>
      <w:r>
        <w:t>Another</w:t>
      </w:r>
      <w:r w:rsidR="002F469E">
        <w:t xml:space="preserve"> sub-objective in the WID is to s</w:t>
      </w:r>
      <w:r w:rsidR="002F469E" w:rsidRPr="006F5968">
        <w:t>tudy additional SCS (480</w:t>
      </w:r>
      <w:r w:rsidR="009C6853">
        <w:t xml:space="preserve"> </w:t>
      </w:r>
      <w:r w:rsidR="002F469E" w:rsidRPr="006F5968">
        <w:t>kHz, 960</w:t>
      </w:r>
      <w:r w:rsidR="009C6853">
        <w:t xml:space="preserve"> </w:t>
      </w:r>
      <w:r w:rsidR="002F469E" w:rsidRPr="006F5968">
        <w:t>kHz) for SS</w:t>
      </w:r>
      <w:r w:rsidR="002F469E">
        <w:t>/PBCH block</w:t>
      </w:r>
      <w:r w:rsidR="002F469E" w:rsidRPr="006F5968">
        <w:t>, and additional SCS</w:t>
      </w:r>
      <w:r w:rsidR="002F469E">
        <w:t xml:space="preserve"> </w:t>
      </w:r>
      <w:r w:rsidR="002F469E" w:rsidRPr="006F5968">
        <w:t>(480</w:t>
      </w:r>
      <w:r w:rsidR="009C6853">
        <w:t xml:space="preserve"> </w:t>
      </w:r>
      <w:r w:rsidR="002F469E" w:rsidRPr="006F5968">
        <w:t>kHz, 960</w:t>
      </w:r>
      <w:r w:rsidR="009C6853">
        <w:t xml:space="preserve"> </w:t>
      </w:r>
      <w:r w:rsidR="002F469E" w:rsidRPr="006F5968">
        <w:t xml:space="preserve">kHz) for </w:t>
      </w:r>
      <w:r w:rsidR="002F469E">
        <w:t xml:space="preserve">cases other than </w:t>
      </w:r>
      <w:r w:rsidR="002F469E" w:rsidRPr="006F5968">
        <w:t>initial access.</w:t>
      </w:r>
      <w:r w:rsidR="002F469E">
        <w:t xml:space="preserve"> One example of "cases other than </w:t>
      </w:r>
      <w:r w:rsidR="002F469E">
        <w:lastRenderedPageBreak/>
        <w:t>initial access" is when an SCell is configured with large SCS (480</w:t>
      </w:r>
      <w:r w:rsidR="009C6853">
        <w:t xml:space="preserve"> kHz, </w:t>
      </w:r>
      <w:r w:rsidR="002F469E">
        <w:t xml:space="preserve">960 kHz) for data/control. For this case, </w:t>
      </w:r>
      <w:r w:rsidR="00891E0C">
        <w:t xml:space="preserve">if </w:t>
      </w:r>
      <w:r w:rsidR="00891E0C">
        <w:rPr>
          <w:lang w:eastAsia="ja-JP"/>
        </w:rPr>
        <w:t>SS/PBCH transmissions</w:t>
      </w:r>
      <w:r w:rsidR="002F469E">
        <w:rPr>
          <w:lang w:eastAsia="ja-JP"/>
        </w:rPr>
        <w:t xml:space="preserve"> with </w:t>
      </w:r>
      <w:r w:rsidR="00891E0C">
        <w:rPr>
          <w:lang w:eastAsia="ja-JP"/>
        </w:rPr>
        <w:t xml:space="preserve">larger SCS (480 kHz, 960 kHz) are defined, </w:t>
      </w:r>
      <w:r w:rsidR="002F469E">
        <w:rPr>
          <w:lang w:eastAsia="ja-JP"/>
        </w:rPr>
        <w:t>single numerology</w:t>
      </w:r>
      <w:r w:rsidR="00A34DA9">
        <w:rPr>
          <w:lang w:eastAsia="ja-JP"/>
        </w:rPr>
        <w:t xml:space="preserve"> </w:t>
      </w:r>
      <w:r w:rsidR="00891E0C">
        <w:rPr>
          <w:lang w:eastAsia="ja-JP"/>
        </w:rPr>
        <w:t xml:space="preserve">operation on the SCell can be achieved </w:t>
      </w:r>
      <w:r w:rsidR="00A34DA9">
        <w:t xml:space="preserve">without the complications of re-designing the FR2 initial access framework. </w:t>
      </w:r>
      <w:r w:rsidR="00891E0C">
        <w:t>Based on this</w:t>
      </w:r>
      <w:r w:rsidR="00123E9F">
        <w:rPr>
          <w:lang w:eastAsia="ja-JP"/>
        </w:rPr>
        <w:t xml:space="preserve">, </w:t>
      </w:r>
      <w:r w:rsidR="00891E0C">
        <w:rPr>
          <w:lang w:eastAsia="ja-JP"/>
        </w:rPr>
        <w:t>we propose the following:</w:t>
      </w:r>
      <w:r w:rsidR="00123E9F">
        <w:rPr>
          <w:lang w:eastAsia="ja-JP"/>
        </w:rPr>
        <w:t xml:space="preserve">  </w:t>
      </w:r>
      <w:bookmarkEnd w:id="11"/>
    </w:p>
    <w:p w14:paraId="549BB233" w14:textId="74FD9CB9" w:rsidR="00123E9F" w:rsidRDefault="00A34DA9" w:rsidP="00123E9F">
      <w:pPr>
        <w:pStyle w:val="Proposal"/>
      </w:pPr>
      <w:bookmarkStart w:id="12" w:name="_Toc61860311"/>
      <w:r>
        <w:t>For cases other than initial access (e.g. f</w:t>
      </w:r>
      <w:r w:rsidR="00123E9F">
        <w:t>or an SCell</w:t>
      </w:r>
      <w:r>
        <w:t>)</w:t>
      </w:r>
      <w:r w:rsidR="00123E9F">
        <w:t>, support 480 and 960 kHz SCS</w:t>
      </w:r>
      <w:r>
        <w:t xml:space="preserve"> for SS/PBCH block</w:t>
      </w:r>
      <w:r w:rsidR="00123E9F">
        <w:t>.</w:t>
      </w:r>
      <w:bookmarkEnd w:id="12"/>
    </w:p>
    <w:p w14:paraId="5BC3E1CA" w14:textId="63E6A6D6" w:rsidR="00FC3F3E" w:rsidRDefault="00A34DA9" w:rsidP="00512993">
      <w:r>
        <w:t>We observe that f</w:t>
      </w:r>
      <w:r w:rsidR="00123E9F">
        <w:t>or basic SCell operation, only SS/PBCH transmission is require</w:t>
      </w:r>
      <w:r w:rsidR="00EA2F2B">
        <w:t>d</w:t>
      </w:r>
      <w:r>
        <w:t xml:space="preserve">, i.e., </w:t>
      </w:r>
      <w:r w:rsidR="00EA2F2B">
        <w:t xml:space="preserve">the MIB can indicate that </w:t>
      </w:r>
      <w:r>
        <w:t>CORESET0</w:t>
      </w:r>
      <w:r w:rsidR="00C66E35">
        <w:t xml:space="preserve"> (</w:t>
      </w:r>
      <w:r>
        <w:t xml:space="preserve">and thus </w:t>
      </w:r>
      <w:r w:rsidR="00EA2F2B">
        <w:t>SIB1</w:t>
      </w:r>
      <w:r w:rsidR="00C66E35">
        <w:t>)</w:t>
      </w:r>
      <w:r w:rsidR="00EA2F2B">
        <w:t xml:space="preserve"> is absent. </w:t>
      </w:r>
      <w:r w:rsidR="004E4405">
        <w:t xml:space="preserve">For an SCell operating on larger SCS (480 or 960 kHz), a BWP using that SCS </w:t>
      </w:r>
      <w:r w:rsidR="00C66E35">
        <w:t>is</w:t>
      </w:r>
      <w:r w:rsidR="004E4405">
        <w:t xml:space="preserve"> configured from the PCell</w:t>
      </w:r>
      <w:r w:rsidR="00DE18D4">
        <w:t xml:space="preserve"> via dedicated signaling</w:t>
      </w:r>
      <w:r w:rsidR="004E4405">
        <w:t xml:space="preserve">. </w:t>
      </w:r>
      <w:r w:rsidR="00DE18D4">
        <w:t xml:space="preserve">For the </w:t>
      </w:r>
      <w:r w:rsidR="008E7547">
        <w:t>case</w:t>
      </w:r>
      <w:r w:rsidR="00DE18D4">
        <w:t xml:space="preserve"> of a non-initial BWP</w:t>
      </w:r>
      <w:r w:rsidR="008E7547">
        <w:t xml:space="preserve">, the </w:t>
      </w:r>
      <w:r w:rsidR="00DE18D4">
        <w:t>SCS</w:t>
      </w:r>
      <w:r w:rsidR="008E7547">
        <w:t xml:space="preserve"> is </w:t>
      </w:r>
      <w:r w:rsidR="00DE18D4">
        <w:t>provided by the</w:t>
      </w:r>
      <w:r w:rsidR="008E7547">
        <w:t xml:space="preserve"> </w:t>
      </w:r>
      <w:r w:rsidR="00DE18D4">
        <w:t>parameter</w:t>
      </w:r>
      <w:r w:rsidR="008E7547">
        <w:t xml:space="preserve"> </w:t>
      </w:r>
      <w:r w:rsidR="008E7547" w:rsidRPr="00DC4504">
        <w:rPr>
          <w:i/>
          <w:iCs/>
        </w:rPr>
        <w:t>subcarrierSpacing</w:t>
      </w:r>
      <w:r w:rsidR="008E7547">
        <w:t>.</w:t>
      </w:r>
      <w:r w:rsidR="0022438F">
        <w:t xml:space="preserve"> </w:t>
      </w:r>
      <w:r w:rsidR="00DE18D4">
        <w:t>Fortunately, t</w:t>
      </w:r>
      <w:r w:rsidR="0022438F">
        <w:t xml:space="preserve">here are 3 available spare values in </w:t>
      </w:r>
      <w:r w:rsidR="0022438F" w:rsidRPr="00DC4504">
        <w:rPr>
          <w:i/>
        </w:rPr>
        <w:t>subcarrierSpacing</w:t>
      </w:r>
      <w:r w:rsidR="00DE18D4">
        <w:t xml:space="preserve"> and two of these can be used for indicating</w:t>
      </w:r>
      <w:r w:rsidR="0022438F">
        <w:t xml:space="preserve"> 480 and 960 kHz SCS, </w:t>
      </w:r>
      <w:r w:rsidR="00DE18D4">
        <w:t>still leaving</w:t>
      </w:r>
      <w:r w:rsidR="0022438F">
        <w:t xml:space="preserve"> one spare value</w:t>
      </w:r>
      <w:r w:rsidR="00DE18D4">
        <w:t>:</w:t>
      </w:r>
      <w:r w:rsidR="008E7547">
        <w:t xml:space="preserve"> </w:t>
      </w:r>
    </w:p>
    <w:p w14:paraId="1F66FE43" w14:textId="77777777" w:rsidR="0022438F" w:rsidRDefault="0022438F" w:rsidP="0022438F">
      <w:pPr>
        <w:pStyle w:val="TH"/>
        <w:rPr>
          <w:rFonts w:eastAsia="Times New Roman" w:cs="Times New Roman"/>
          <w:szCs w:val="20"/>
          <w:lang w:val="en-GB"/>
        </w:rPr>
      </w:pPr>
      <w:r>
        <w:rPr>
          <w:i/>
          <w:lang w:val="en-GB"/>
        </w:rPr>
        <w:t xml:space="preserve">SubcarrierSpacing </w:t>
      </w:r>
      <w:r>
        <w:rPr>
          <w:lang w:val="en-GB"/>
        </w:rPr>
        <w:t>information element</w:t>
      </w:r>
    </w:p>
    <w:p w14:paraId="4D350BE8" w14:textId="77777777" w:rsidR="0022438F" w:rsidRDefault="0022438F" w:rsidP="0022438F">
      <w:pPr>
        <w:pStyle w:val="PL"/>
      </w:pPr>
      <w:r>
        <w:t>-- ASN1START</w:t>
      </w:r>
    </w:p>
    <w:p w14:paraId="0716ACA2" w14:textId="77777777" w:rsidR="0022438F" w:rsidRDefault="0022438F" w:rsidP="0022438F">
      <w:pPr>
        <w:pStyle w:val="PL"/>
      </w:pPr>
      <w:r>
        <w:t>-- TAG-SUBCARRIERSPACING-START</w:t>
      </w:r>
    </w:p>
    <w:p w14:paraId="0BE9852B" w14:textId="77777777" w:rsidR="0022438F" w:rsidRDefault="0022438F" w:rsidP="0022438F">
      <w:pPr>
        <w:pStyle w:val="PL"/>
      </w:pPr>
    </w:p>
    <w:p w14:paraId="18A66C95" w14:textId="50D64FFA" w:rsidR="0022438F" w:rsidRDefault="0022438F" w:rsidP="0022438F">
      <w:pPr>
        <w:pStyle w:val="PL"/>
      </w:pPr>
      <w:bookmarkStart w:id="13" w:name="TSubcarrierSpacing"/>
      <w:r>
        <w:t>SubcarrierSpacing</w:t>
      </w:r>
      <w:bookmarkEnd w:id="13"/>
      <w:r>
        <w:t xml:space="preserve"> ::=               ENUMERATED {kHz15, kHz30, kHz60, kHz120, kHz240, </w:t>
      </w:r>
      <w:r w:rsidR="00DE18D4">
        <w:rPr>
          <w:color w:val="FF0000"/>
        </w:rPr>
        <w:t>kHz480</w:t>
      </w:r>
      <w:r w:rsidRPr="00DC4504">
        <w:rPr>
          <w:strike/>
          <w:color w:val="FF0000"/>
        </w:rPr>
        <w:t>spare3</w:t>
      </w:r>
      <w:r>
        <w:t xml:space="preserve">, </w:t>
      </w:r>
      <w:r w:rsidR="00DE18D4">
        <w:rPr>
          <w:color w:val="FF0000"/>
        </w:rPr>
        <w:t>kHz960</w:t>
      </w:r>
      <w:r w:rsidRPr="00DC4504">
        <w:rPr>
          <w:strike/>
          <w:color w:val="FF0000"/>
        </w:rPr>
        <w:t>spare2</w:t>
      </w:r>
      <w:r>
        <w:t>, spare1}</w:t>
      </w:r>
    </w:p>
    <w:p w14:paraId="43A05F2E" w14:textId="77777777" w:rsidR="0022438F" w:rsidRDefault="0022438F" w:rsidP="0022438F">
      <w:pPr>
        <w:pStyle w:val="PL"/>
      </w:pPr>
    </w:p>
    <w:p w14:paraId="7A703363" w14:textId="77777777" w:rsidR="0022438F" w:rsidRDefault="0022438F" w:rsidP="0022438F">
      <w:pPr>
        <w:pStyle w:val="PL"/>
      </w:pPr>
      <w:r>
        <w:t>-- TAG-SUBCARRIERSPACING-STOP</w:t>
      </w:r>
    </w:p>
    <w:p w14:paraId="3D704856" w14:textId="77777777" w:rsidR="0022438F" w:rsidRDefault="0022438F" w:rsidP="0022438F">
      <w:pPr>
        <w:pStyle w:val="PL"/>
      </w:pPr>
      <w:r>
        <w:t>-- ASN1STOP</w:t>
      </w:r>
    </w:p>
    <w:p w14:paraId="23D02157" w14:textId="77777777" w:rsidR="00DE18D4" w:rsidRDefault="00DE18D4" w:rsidP="00512993"/>
    <w:p w14:paraId="737DB571" w14:textId="490058E4" w:rsidR="009D7156" w:rsidRDefault="009D7156" w:rsidP="00DC4504">
      <w:pPr>
        <w:pStyle w:val="Observation"/>
      </w:pPr>
      <w:bookmarkStart w:id="14" w:name="_Toc61860305"/>
      <w:r>
        <w:t xml:space="preserve">For basic SCell operation, two of the spare bits in IE </w:t>
      </w:r>
      <w:r w:rsidRPr="00DC4504">
        <w:rPr>
          <w:i/>
          <w:lang w:eastAsia="zh-CN"/>
        </w:rPr>
        <w:t>SubcarrierSpacing</w:t>
      </w:r>
      <w:r>
        <w:t xml:space="preserve"> </w:t>
      </w:r>
      <w:r w:rsidR="0042572A">
        <w:t xml:space="preserve">can be used </w:t>
      </w:r>
      <w:r>
        <w:t xml:space="preserve">to indicate </w:t>
      </w:r>
      <w:r w:rsidR="0042572A">
        <w:t>either</w:t>
      </w:r>
      <w:r>
        <w:t xml:space="preserve"> 480 </w:t>
      </w:r>
      <w:r w:rsidR="0042572A">
        <w:t>or</w:t>
      </w:r>
      <w:r>
        <w:t xml:space="preserve"> 960 kHz SCS</w:t>
      </w:r>
      <w:r w:rsidR="0042572A">
        <w:t xml:space="preserve"> for a non-initial BWP via dedicated signaling</w:t>
      </w:r>
      <w:r>
        <w:t>.</w:t>
      </w:r>
      <w:bookmarkEnd w:id="14"/>
    </w:p>
    <w:p w14:paraId="38DE8E66" w14:textId="77777777" w:rsidR="009D7156" w:rsidRDefault="009D7156" w:rsidP="00512993"/>
    <w:p w14:paraId="2F5BB5C9" w14:textId="5FFF493A" w:rsidR="00F1068F" w:rsidRDefault="00F1068F" w:rsidP="00F1068F">
      <w:pPr>
        <w:pStyle w:val="Heading3"/>
      </w:pPr>
      <w:r>
        <w:t>2.1.3</w:t>
      </w:r>
      <w:r>
        <w:tab/>
      </w:r>
      <w:r w:rsidRPr="00512993">
        <w:t>SSB time domain pattern</w:t>
      </w:r>
      <w:r>
        <w:t>s</w:t>
      </w:r>
      <w:r w:rsidRPr="00512993">
        <w:t xml:space="preserve"> </w:t>
      </w:r>
      <w:r w:rsidRPr="009A1D6E">
        <w:t>(for 480/960)</w:t>
      </w:r>
    </w:p>
    <w:p w14:paraId="549E129E" w14:textId="458DF937" w:rsidR="008E6747" w:rsidRPr="00512993" w:rsidRDefault="00B563F2" w:rsidP="00512993">
      <w:pPr>
        <w:rPr>
          <w:lang w:val="en-GB" w:eastAsia="ja-JP"/>
        </w:rPr>
      </w:pPr>
      <w:r>
        <w:rPr>
          <w:lang w:val="en-GB" w:eastAsia="ja-JP"/>
        </w:rPr>
        <w:t>For FR2, SSB time domain patterns are defined for 120</w:t>
      </w:r>
      <w:r w:rsidR="0022438F">
        <w:rPr>
          <w:lang w:val="en-GB" w:eastAsia="ja-JP"/>
        </w:rPr>
        <w:t xml:space="preserve"> </w:t>
      </w:r>
      <w:r w:rsidR="001631D9">
        <w:rPr>
          <w:lang w:val="en-GB" w:eastAsia="ja-JP"/>
        </w:rPr>
        <w:t xml:space="preserve">kHz </w:t>
      </w:r>
      <w:r w:rsidR="0022438F">
        <w:rPr>
          <w:lang w:val="en-GB" w:eastAsia="ja-JP"/>
        </w:rPr>
        <w:t>(Case D)</w:t>
      </w:r>
      <w:r>
        <w:rPr>
          <w:lang w:val="en-GB" w:eastAsia="ja-JP"/>
        </w:rPr>
        <w:t xml:space="preserve"> and 240 kHz</w:t>
      </w:r>
      <w:r w:rsidR="0022438F">
        <w:rPr>
          <w:lang w:val="en-GB" w:eastAsia="ja-JP"/>
        </w:rPr>
        <w:t xml:space="preserve"> (Case E)</w:t>
      </w:r>
      <w:r>
        <w:rPr>
          <w:lang w:val="en-GB" w:eastAsia="ja-JP"/>
        </w:rPr>
        <w:t xml:space="preserve"> SCS. These patterns are designed to</w:t>
      </w:r>
      <w:r w:rsidR="002C0E84">
        <w:rPr>
          <w:lang w:val="en-GB" w:eastAsia="ja-JP"/>
        </w:rPr>
        <w:t xml:space="preserve"> support operation with SS</w:t>
      </w:r>
      <w:r w:rsidR="001631D9">
        <w:rPr>
          <w:lang w:val="en-GB" w:eastAsia="ja-JP"/>
        </w:rPr>
        <w:t>/P</w:t>
      </w:r>
      <w:r w:rsidR="002C0E84">
        <w:rPr>
          <w:lang w:val="en-GB" w:eastAsia="ja-JP"/>
        </w:rPr>
        <w:t>B</w:t>
      </w:r>
      <w:r w:rsidR="001631D9">
        <w:rPr>
          <w:lang w:val="en-GB" w:eastAsia="ja-JP"/>
        </w:rPr>
        <w:t>CH transmission</w:t>
      </w:r>
      <w:r w:rsidR="002C0E84">
        <w:rPr>
          <w:lang w:val="en-GB" w:eastAsia="ja-JP"/>
        </w:rPr>
        <w:t xml:space="preserve"> </w:t>
      </w:r>
      <w:r w:rsidR="001631D9">
        <w:rPr>
          <w:lang w:val="en-GB" w:eastAsia="ja-JP"/>
        </w:rPr>
        <w:t>with</w:t>
      </w:r>
      <w:r w:rsidR="002C0E84">
        <w:rPr>
          <w:lang w:val="en-GB" w:eastAsia="ja-JP"/>
        </w:rPr>
        <w:t xml:space="preserve"> a different SCS than for data and control channels, for example SS</w:t>
      </w:r>
      <w:r w:rsidR="001631D9">
        <w:rPr>
          <w:lang w:val="en-GB" w:eastAsia="ja-JP"/>
        </w:rPr>
        <w:t>/PBCH</w:t>
      </w:r>
      <w:r w:rsidR="002C0E84">
        <w:rPr>
          <w:lang w:val="en-GB" w:eastAsia="ja-JP"/>
        </w:rPr>
        <w:t xml:space="preserve"> with 240 kHz</w:t>
      </w:r>
      <w:r w:rsidR="001631D9">
        <w:rPr>
          <w:lang w:val="en-GB" w:eastAsia="ja-JP"/>
        </w:rPr>
        <w:t xml:space="preserve"> SCS</w:t>
      </w:r>
      <w:r w:rsidR="002C0E84" w:rsidDel="001631D9">
        <w:rPr>
          <w:lang w:val="en-GB" w:eastAsia="ja-JP"/>
        </w:rPr>
        <w:t xml:space="preserve"> </w:t>
      </w:r>
      <w:r w:rsidR="002C0E84">
        <w:rPr>
          <w:lang w:val="en-GB" w:eastAsia="ja-JP"/>
        </w:rPr>
        <w:t xml:space="preserve">and data/control with 60 or 120 kHz SCS. </w:t>
      </w:r>
      <w:r w:rsidR="002F315D">
        <w:rPr>
          <w:lang w:val="en-GB" w:eastAsia="ja-JP"/>
        </w:rPr>
        <w:t>The patterns are also designed</w:t>
      </w:r>
      <w:r w:rsidR="002F315D" w:rsidDel="003A2347">
        <w:rPr>
          <w:lang w:val="en-GB" w:eastAsia="ja-JP"/>
        </w:rPr>
        <w:t xml:space="preserve"> </w:t>
      </w:r>
      <w:r w:rsidR="00406CB7">
        <w:rPr>
          <w:lang w:val="en-GB" w:eastAsia="ja-JP"/>
        </w:rPr>
        <w:t xml:space="preserve">with a longer gap (2 slots) between certain SSBs </w:t>
      </w:r>
      <w:r w:rsidR="00B76097">
        <w:rPr>
          <w:lang w:val="en-GB" w:eastAsia="ja-JP"/>
        </w:rPr>
        <w:t>to allow</w:t>
      </w:r>
      <w:r w:rsidR="002F315D">
        <w:rPr>
          <w:lang w:val="en-GB" w:eastAsia="ja-JP"/>
        </w:rPr>
        <w:t xml:space="preserve"> </w:t>
      </w:r>
      <w:r w:rsidR="001631D9">
        <w:rPr>
          <w:lang w:val="en-GB" w:eastAsia="ja-JP"/>
        </w:rPr>
        <w:t>slot</w:t>
      </w:r>
      <w:r w:rsidR="00B76097">
        <w:rPr>
          <w:lang w:val="en-GB" w:eastAsia="ja-JP"/>
        </w:rPr>
        <w:t>-length</w:t>
      </w:r>
      <w:r w:rsidR="0013466F">
        <w:rPr>
          <w:lang w:val="en-GB" w:eastAsia="ja-JP"/>
        </w:rPr>
        <w:t xml:space="preserve"> and sub-slot</w:t>
      </w:r>
      <w:r w:rsidR="00B76097">
        <w:rPr>
          <w:lang w:val="en-GB" w:eastAsia="ja-JP"/>
        </w:rPr>
        <w:t>-length</w:t>
      </w:r>
      <w:r w:rsidR="002F315D">
        <w:rPr>
          <w:lang w:val="en-GB" w:eastAsia="ja-JP"/>
        </w:rPr>
        <w:t xml:space="preserve"> UL and DL transmissions </w:t>
      </w:r>
      <w:r w:rsidR="00B76097">
        <w:rPr>
          <w:lang w:val="en-GB" w:eastAsia="ja-JP"/>
        </w:rPr>
        <w:t xml:space="preserve">even when </w:t>
      </w:r>
      <w:r w:rsidR="002F315D">
        <w:rPr>
          <w:lang w:val="en-GB" w:eastAsia="ja-JP"/>
        </w:rPr>
        <w:t>a large number of SSB beams is used.</w:t>
      </w:r>
    </w:p>
    <w:p w14:paraId="12143D08" w14:textId="393F70C1" w:rsidR="00DB6B30" w:rsidRDefault="002C0E84" w:rsidP="00512993">
      <w:pPr>
        <w:rPr>
          <w:lang w:val="en-GB" w:eastAsia="ja-JP"/>
        </w:rPr>
      </w:pPr>
      <w:r>
        <w:rPr>
          <w:lang w:val="en-GB" w:eastAsia="ja-JP"/>
        </w:rPr>
        <w:t xml:space="preserve">As SSB patterns are already specified for 120 and 240 kHz SCS operation, and we do not see any reason to </w:t>
      </w:r>
      <w:r w:rsidR="00B76097">
        <w:rPr>
          <w:lang w:val="en-GB" w:eastAsia="ja-JP"/>
        </w:rPr>
        <w:t xml:space="preserve">drastically </w:t>
      </w:r>
      <w:r>
        <w:rPr>
          <w:lang w:val="en-GB" w:eastAsia="ja-JP"/>
        </w:rPr>
        <w:t>change these</w:t>
      </w:r>
      <w:r w:rsidR="00B76097">
        <w:rPr>
          <w:lang w:val="en-GB" w:eastAsia="ja-JP"/>
        </w:rPr>
        <w:t>. Hence</w:t>
      </w:r>
      <w:r>
        <w:rPr>
          <w:lang w:val="en-GB" w:eastAsia="ja-JP"/>
        </w:rPr>
        <w:t xml:space="preserve"> the discussion </w:t>
      </w:r>
      <w:r w:rsidR="00B76097">
        <w:rPr>
          <w:lang w:val="en-GB" w:eastAsia="ja-JP"/>
        </w:rPr>
        <w:t xml:space="preserve">here </w:t>
      </w:r>
      <w:r>
        <w:rPr>
          <w:lang w:val="en-GB" w:eastAsia="ja-JP"/>
        </w:rPr>
        <w:t>will focus on time domain patterns for 480 and 960 kHz SCS.</w:t>
      </w:r>
      <w:r w:rsidR="00B76097">
        <w:rPr>
          <w:lang w:val="en-GB" w:eastAsia="ja-JP"/>
        </w:rPr>
        <w:t xml:space="preserve"> </w:t>
      </w:r>
      <w:r w:rsidR="00DB6B30">
        <w:rPr>
          <w:lang w:val="en-GB" w:eastAsia="ja-JP"/>
        </w:rPr>
        <w:t>There are several aspects to consider when designing the SSB time domain patterns for larger SCS, and before discussing the details it makes sense to agree on what design principles to focus on.</w:t>
      </w:r>
    </w:p>
    <w:p w14:paraId="432A46D6" w14:textId="6FF39B11" w:rsidR="00F6332D" w:rsidRPr="00F6332D" w:rsidRDefault="00F6332D" w:rsidP="00512993">
      <w:pPr>
        <w:rPr>
          <w:b/>
          <w:bCs/>
          <w:u w:val="single"/>
          <w:lang w:val="en-GB" w:eastAsia="ja-JP"/>
        </w:rPr>
      </w:pPr>
      <w:r w:rsidRPr="00F6332D">
        <w:rPr>
          <w:b/>
          <w:bCs/>
          <w:u w:val="single"/>
          <w:lang w:val="en-GB" w:eastAsia="ja-JP"/>
        </w:rPr>
        <w:t>Gaps between SSB beams</w:t>
      </w:r>
    </w:p>
    <w:p w14:paraId="698F60DB" w14:textId="13E5FBF8" w:rsidR="002C0E84" w:rsidRDefault="00DB6B30" w:rsidP="00512993">
      <w:pPr>
        <w:rPr>
          <w:lang w:val="en-GB" w:eastAsia="ja-JP"/>
        </w:rPr>
      </w:pPr>
      <w:r>
        <w:rPr>
          <w:lang w:val="en-GB" w:eastAsia="ja-JP"/>
        </w:rPr>
        <w:t>Gaps can be use</w:t>
      </w:r>
      <w:r w:rsidR="002C0E84">
        <w:rPr>
          <w:lang w:val="en-GB" w:eastAsia="ja-JP"/>
        </w:rPr>
        <w:t xml:space="preserve">ful for various reasons: for short UL or DL transmissions (a few symbols), for longer UL or DL transmissions (a few slots), or for beam switching (if cyclic prefix is not judged to be long enough for this). </w:t>
      </w:r>
    </w:p>
    <w:p w14:paraId="5DF91F00" w14:textId="1AF579C3" w:rsidR="002C0E84" w:rsidRDefault="002C0E84" w:rsidP="00512993">
      <w:pPr>
        <w:rPr>
          <w:lang w:val="en-GB" w:eastAsia="ja-JP"/>
        </w:rPr>
      </w:pPr>
      <w:r>
        <w:rPr>
          <w:lang w:val="en-GB" w:eastAsia="ja-JP"/>
        </w:rPr>
        <w:t>When increasing the SCS, the time duration of a 64 beam SS</w:t>
      </w:r>
      <w:r w:rsidR="0013466F">
        <w:rPr>
          <w:lang w:val="en-GB" w:eastAsia="ja-JP"/>
        </w:rPr>
        <w:t>/P</w:t>
      </w:r>
      <w:r>
        <w:rPr>
          <w:lang w:val="en-GB" w:eastAsia="ja-JP"/>
        </w:rPr>
        <w:t>B</w:t>
      </w:r>
      <w:r w:rsidR="0013466F">
        <w:rPr>
          <w:lang w:val="en-GB" w:eastAsia="ja-JP"/>
        </w:rPr>
        <w:t>CH</w:t>
      </w:r>
      <w:r>
        <w:rPr>
          <w:lang w:val="en-GB" w:eastAsia="ja-JP"/>
        </w:rPr>
        <w:t xml:space="preserve"> transmission is reduced substantially. </w:t>
      </w:r>
      <w:r w:rsidR="00F6332D">
        <w:rPr>
          <w:lang w:val="en-GB" w:eastAsia="ja-JP"/>
        </w:rPr>
        <w:t>For example, if</w:t>
      </w:r>
      <w:r w:rsidR="00F6332D" w:rsidDel="0013466F">
        <w:rPr>
          <w:lang w:val="en-GB" w:eastAsia="ja-JP"/>
        </w:rPr>
        <w:t xml:space="preserve"> </w:t>
      </w:r>
      <w:r w:rsidR="00F6332D">
        <w:rPr>
          <w:lang w:val="en-GB" w:eastAsia="ja-JP"/>
        </w:rPr>
        <w:t>64 SS</w:t>
      </w:r>
      <w:r w:rsidR="0013466F">
        <w:rPr>
          <w:lang w:val="en-GB" w:eastAsia="ja-JP"/>
        </w:rPr>
        <w:t>/PBCH</w:t>
      </w:r>
      <w:r w:rsidR="00F6332D">
        <w:rPr>
          <w:lang w:val="en-GB" w:eastAsia="ja-JP"/>
        </w:rPr>
        <w:t xml:space="preserve"> beams are transmitted in 32 slots, the time </w:t>
      </w:r>
      <w:r w:rsidR="00B76097">
        <w:rPr>
          <w:lang w:val="en-GB" w:eastAsia="ja-JP"/>
        </w:rPr>
        <w:t xml:space="preserve">duration </w:t>
      </w:r>
      <w:r w:rsidR="00F6332D">
        <w:rPr>
          <w:lang w:val="en-GB" w:eastAsia="ja-JP"/>
        </w:rPr>
        <w:t>of the SS</w:t>
      </w:r>
      <w:r w:rsidR="0013466F">
        <w:rPr>
          <w:lang w:val="en-GB" w:eastAsia="ja-JP"/>
        </w:rPr>
        <w:t>/P</w:t>
      </w:r>
      <w:r w:rsidR="00F6332D">
        <w:rPr>
          <w:lang w:val="en-GB" w:eastAsia="ja-JP"/>
        </w:rPr>
        <w:t>B</w:t>
      </w:r>
      <w:r w:rsidR="0013466F">
        <w:rPr>
          <w:lang w:val="en-GB" w:eastAsia="ja-JP"/>
        </w:rPr>
        <w:t>CH</w:t>
      </w:r>
      <w:r w:rsidR="00F6332D">
        <w:rPr>
          <w:lang w:val="en-GB" w:eastAsia="ja-JP"/>
        </w:rPr>
        <w:t xml:space="preserve"> beam sweep is 0.5 ms if 960 kHz SCS is used. Using 480 kHz SCS, the corresponding time </w:t>
      </w:r>
      <w:r w:rsidR="00B76097">
        <w:rPr>
          <w:lang w:val="en-GB" w:eastAsia="ja-JP"/>
        </w:rPr>
        <w:t xml:space="preserve">duration </w:t>
      </w:r>
      <w:r w:rsidR="00F6332D">
        <w:rPr>
          <w:lang w:val="en-GB" w:eastAsia="ja-JP"/>
        </w:rPr>
        <w:t xml:space="preserve">is 1 ms. With these short beam sweep times, the need </w:t>
      </w:r>
      <w:r w:rsidR="00406CB7">
        <w:rPr>
          <w:lang w:val="en-GB" w:eastAsia="ja-JP"/>
        </w:rPr>
        <w:t xml:space="preserve">to define </w:t>
      </w:r>
      <w:r w:rsidR="00F6332D">
        <w:rPr>
          <w:lang w:val="en-GB" w:eastAsia="ja-JP"/>
        </w:rPr>
        <w:t>longer gaps between SS</w:t>
      </w:r>
      <w:r w:rsidR="0013466F">
        <w:rPr>
          <w:lang w:val="en-GB" w:eastAsia="ja-JP"/>
        </w:rPr>
        <w:t>/P</w:t>
      </w:r>
      <w:r w:rsidR="00F6332D">
        <w:rPr>
          <w:lang w:val="en-GB" w:eastAsia="ja-JP"/>
        </w:rPr>
        <w:t>B</w:t>
      </w:r>
      <w:r w:rsidR="0013466F">
        <w:rPr>
          <w:lang w:val="en-GB" w:eastAsia="ja-JP"/>
        </w:rPr>
        <w:t>CH</w:t>
      </w:r>
      <w:r w:rsidR="00F6332D">
        <w:rPr>
          <w:lang w:val="en-GB" w:eastAsia="ja-JP"/>
        </w:rPr>
        <w:t xml:space="preserve"> beams for PDSCH/PUSCH transmissions is reduced.</w:t>
      </w:r>
    </w:p>
    <w:p w14:paraId="5A737478" w14:textId="0D813AEC" w:rsidR="00A833D7" w:rsidRDefault="00D05755" w:rsidP="00512993">
      <w:pPr>
        <w:rPr>
          <w:lang w:val="en-GB" w:eastAsia="ja-JP"/>
        </w:rPr>
      </w:pPr>
      <w:r>
        <w:rPr>
          <w:lang w:val="en-GB" w:eastAsia="ja-JP"/>
        </w:rPr>
        <w:t xml:space="preserve">To be able to utilize the gaps between the </w:t>
      </w:r>
      <w:r w:rsidR="00C770D4">
        <w:rPr>
          <w:lang w:val="en-GB" w:eastAsia="ja-JP"/>
        </w:rPr>
        <w:t xml:space="preserve">SS/PBCH block </w:t>
      </w:r>
      <w:r>
        <w:rPr>
          <w:lang w:val="en-GB" w:eastAsia="ja-JP"/>
        </w:rPr>
        <w:t xml:space="preserve">beams for short UL transmissions, they need to be large enough to fit DL/UL + UL/DL switching and one or two symbols for transmission in-between. </w:t>
      </w:r>
      <w:r w:rsidR="00655200">
        <w:rPr>
          <w:lang w:val="en-GB" w:eastAsia="ja-JP"/>
        </w:rPr>
        <w:t xml:space="preserve">In </w:t>
      </w:r>
      <w:r w:rsidR="003F4006">
        <w:rPr>
          <w:lang w:val="en-GB" w:eastAsia="ja-JP"/>
        </w:rPr>
        <w:fldChar w:fldCharType="begin"/>
      </w:r>
      <w:r w:rsidR="003F4006">
        <w:rPr>
          <w:lang w:val="en-GB" w:eastAsia="ja-JP"/>
        </w:rPr>
        <w:instrText xml:space="preserve"> REF _Ref61010403 \r \h </w:instrText>
      </w:r>
      <w:r w:rsidR="003F4006">
        <w:rPr>
          <w:lang w:val="en-GB" w:eastAsia="ja-JP"/>
        </w:rPr>
      </w:r>
      <w:r w:rsidR="003F4006">
        <w:rPr>
          <w:lang w:val="en-GB" w:eastAsia="ja-JP"/>
        </w:rPr>
        <w:fldChar w:fldCharType="separate"/>
      </w:r>
      <w:r w:rsidR="003F4006">
        <w:rPr>
          <w:lang w:val="en-GB" w:eastAsia="ja-JP"/>
        </w:rPr>
        <w:t>[4]</w:t>
      </w:r>
      <w:r w:rsidR="003F4006">
        <w:rPr>
          <w:lang w:val="en-GB" w:eastAsia="ja-JP"/>
        </w:rPr>
        <w:fldChar w:fldCharType="end"/>
      </w:r>
      <w:r w:rsidR="00655200">
        <w:rPr>
          <w:lang w:val="en-GB" w:eastAsia="ja-JP"/>
        </w:rPr>
        <w:t>, the RX-</w:t>
      </w:r>
      <w:r w:rsidDel="00655200">
        <w:rPr>
          <w:lang w:val="en-GB" w:eastAsia="ja-JP"/>
        </w:rPr>
        <w:t>TX</w:t>
      </w:r>
      <w:r>
        <w:rPr>
          <w:lang w:val="en-GB" w:eastAsia="ja-JP"/>
        </w:rPr>
        <w:t xml:space="preserve"> </w:t>
      </w:r>
      <w:r w:rsidR="00655200">
        <w:rPr>
          <w:lang w:val="en-GB" w:eastAsia="ja-JP"/>
        </w:rPr>
        <w:t xml:space="preserve">transition times, </w:t>
      </w:r>
      <w:r w:rsidR="00655200" w:rsidRPr="00DC4504">
        <w:rPr>
          <w:i/>
          <w:lang w:val="en-GB" w:eastAsia="ja-JP"/>
        </w:rPr>
        <w:t>N</w:t>
      </w:r>
      <w:r w:rsidR="00655200" w:rsidRPr="00DC4504">
        <w:rPr>
          <w:vertAlign w:val="subscript"/>
          <w:lang w:val="en-GB" w:eastAsia="ja-JP"/>
        </w:rPr>
        <w:t>Rx-Tx</w:t>
      </w:r>
      <w:r w:rsidR="00655200">
        <w:rPr>
          <w:lang w:val="en-GB" w:eastAsia="ja-JP"/>
        </w:rPr>
        <w:t xml:space="preserve"> and </w:t>
      </w:r>
      <w:r w:rsidR="00655200" w:rsidRPr="00DC4504">
        <w:rPr>
          <w:i/>
          <w:lang w:val="en-GB" w:eastAsia="ja-JP"/>
        </w:rPr>
        <w:t>N</w:t>
      </w:r>
      <w:r w:rsidR="00655200" w:rsidRPr="00DC4504">
        <w:rPr>
          <w:vertAlign w:val="subscript"/>
          <w:lang w:val="en-GB" w:eastAsia="ja-JP"/>
        </w:rPr>
        <w:t>Tx-Rx</w:t>
      </w:r>
      <w:r w:rsidR="00655200">
        <w:rPr>
          <w:lang w:val="en-GB" w:eastAsia="ja-JP"/>
        </w:rPr>
        <w:t>, are specified to</w:t>
      </w:r>
      <w:r w:rsidR="003F4006">
        <w:rPr>
          <w:lang w:val="en-GB" w:eastAsia="ja-JP"/>
        </w:rPr>
        <w:t xml:space="preserve"> 13792*</w:t>
      </w:r>
      <w:r w:rsidR="003F4006" w:rsidRPr="00DC4504">
        <w:rPr>
          <w:i/>
          <w:lang w:val="en-GB" w:eastAsia="ja-JP"/>
        </w:rPr>
        <w:t>T</w:t>
      </w:r>
      <w:r w:rsidR="003F4006" w:rsidRPr="00DC4504">
        <w:rPr>
          <w:vertAlign w:val="subscript"/>
          <w:lang w:val="en-GB" w:eastAsia="ja-JP"/>
        </w:rPr>
        <w:t>c</w:t>
      </w:r>
      <w:r w:rsidR="00655200">
        <w:rPr>
          <w:lang w:val="en-GB" w:eastAsia="ja-JP"/>
        </w:rPr>
        <w:t xml:space="preserve"> </w:t>
      </w:r>
      <w:r w:rsidR="00B76097">
        <w:rPr>
          <w:lang w:val="en-GB" w:eastAsia="ja-JP"/>
        </w:rPr>
        <w:t xml:space="preserve">which translates to </w:t>
      </w:r>
      <w:r>
        <w:rPr>
          <w:lang w:val="en-GB" w:eastAsia="ja-JP"/>
        </w:rPr>
        <w:t xml:space="preserve">approximately 7 </w:t>
      </w:r>
      <w:r>
        <w:rPr>
          <w:rFonts w:cs="Arial"/>
          <w:lang w:val="en-GB" w:eastAsia="ja-JP"/>
        </w:rPr>
        <w:t>µ</w:t>
      </w:r>
      <w:r>
        <w:rPr>
          <w:lang w:val="en-GB" w:eastAsia="ja-JP"/>
        </w:rPr>
        <w:t>s</w:t>
      </w:r>
      <w:r w:rsidR="00B76097">
        <w:rPr>
          <w:lang w:val="en-GB" w:eastAsia="ja-JP"/>
        </w:rPr>
        <w:t xml:space="preserve">. We note that the </w:t>
      </w:r>
      <w:r w:rsidR="003F4006">
        <w:rPr>
          <w:lang w:val="en-GB" w:eastAsia="ja-JP"/>
        </w:rPr>
        <w:t xml:space="preserve">RAN4 requirement is 5 </w:t>
      </w:r>
      <w:r w:rsidR="003F4006">
        <w:rPr>
          <w:rFonts w:cs="Arial"/>
          <w:lang w:val="en-GB" w:eastAsia="ja-JP"/>
        </w:rPr>
        <w:t>µ</w:t>
      </w:r>
      <w:r w:rsidR="003F4006">
        <w:rPr>
          <w:lang w:val="en-GB" w:eastAsia="ja-JP"/>
        </w:rPr>
        <w:t xml:space="preserve">s for the UE </w:t>
      </w:r>
      <w:r w:rsidR="003F4006">
        <w:rPr>
          <w:lang w:val="en-GB" w:eastAsia="ja-JP"/>
        </w:rPr>
        <w:fldChar w:fldCharType="begin"/>
      </w:r>
      <w:r w:rsidR="003F4006">
        <w:rPr>
          <w:lang w:val="en-GB" w:eastAsia="ja-JP"/>
        </w:rPr>
        <w:instrText xml:space="preserve"> REF _Ref60847000 \r \h </w:instrText>
      </w:r>
      <w:r w:rsidR="003F4006">
        <w:rPr>
          <w:lang w:val="en-GB" w:eastAsia="ja-JP"/>
        </w:rPr>
      </w:r>
      <w:r w:rsidR="003F4006">
        <w:rPr>
          <w:lang w:val="en-GB" w:eastAsia="ja-JP"/>
        </w:rPr>
        <w:fldChar w:fldCharType="separate"/>
      </w:r>
      <w:r w:rsidR="003F4006">
        <w:rPr>
          <w:lang w:val="en-GB" w:eastAsia="ja-JP"/>
        </w:rPr>
        <w:t>[2]</w:t>
      </w:r>
      <w:r w:rsidR="003F4006">
        <w:rPr>
          <w:lang w:val="en-GB" w:eastAsia="ja-JP"/>
        </w:rPr>
        <w:fldChar w:fldCharType="end"/>
      </w:r>
      <w:r>
        <w:rPr>
          <w:lang w:val="en-GB" w:eastAsia="ja-JP"/>
        </w:rPr>
        <w:t>.</w:t>
      </w:r>
      <w:r w:rsidDel="00B76097">
        <w:rPr>
          <w:lang w:val="en-GB" w:eastAsia="ja-JP"/>
        </w:rPr>
        <w:t xml:space="preserve"> </w:t>
      </w:r>
      <w:r w:rsidR="00B76097">
        <w:rPr>
          <w:lang w:val="en-GB" w:eastAsia="ja-JP"/>
        </w:rPr>
        <w:t>For</w:t>
      </w:r>
      <w:r>
        <w:rPr>
          <w:lang w:val="en-GB" w:eastAsia="ja-JP"/>
        </w:rPr>
        <w:t xml:space="preserve"> 960 kHz SCS, one OFDM symbol is approximately 1 </w:t>
      </w:r>
      <w:r>
        <w:rPr>
          <w:rFonts w:cs="Arial"/>
          <w:lang w:val="en-GB" w:eastAsia="ja-JP"/>
        </w:rPr>
        <w:t>µ</w:t>
      </w:r>
      <w:r>
        <w:rPr>
          <w:lang w:val="en-GB" w:eastAsia="ja-JP"/>
        </w:rPr>
        <w:t>s long.</w:t>
      </w:r>
      <w:r w:rsidR="00A833D7">
        <w:rPr>
          <w:lang w:val="en-GB" w:eastAsia="ja-JP"/>
        </w:rPr>
        <w:t xml:space="preserve"> </w:t>
      </w:r>
      <w:r w:rsidR="00B76097">
        <w:rPr>
          <w:lang w:val="en-GB" w:eastAsia="ja-JP"/>
        </w:rPr>
        <w:t>Hence, the switching time translates to a large number of 960 kHz symbols, making the short gaps between SS/PBCH blocks not very useful for UL transmissions.</w:t>
      </w:r>
      <w:r w:rsidR="00A833D7">
        <w:rPr>
          <w:lang w:val="en-GB" w:eastAsia="ja-JP"/>
        </w:rPr>
        <w:t xml:space="preserve"> </w:t>
      </w:r>
    </w:p>
    <w:p w14:paraId="3FE043BE" w14:textId="6CAC61D5" w:rsidR="00F6332D" w:rsidRDefault="00A833D7" w:rsidP="00512993">
      <w:pPr>
        <w:rPr>
          <w:lang w:val="en-GB" w:eastAsia="ja-JP"/>
        </w:rPr>
      </w:pPr>
      <w:r>
        <w:rPr>
          <w:lang w:val="en-GB" w:eastAsia="ja-JP"/>
        </w:rPr>
        <w:lastRenderedPageBreak/>
        <w:t xml:space="preserve">According to the WID objectives </w:t>
      </w:r>
      <w:r w:rsidR="009B0BDD">
        <w:rPr>
          <w:lang w:val="en-GB" w:eastAsia="ja-JP"/>
        </w:rPr>
        <w:fldChar w:fldCharType="begin"/>
      </w:r>
      <w:r w:rsidR="009B0BDD">
        <w:rPr>
          <w:lang w:val="en-GB" w:eastAsia="ja-JP"/>
        </w:rPr>
        <w:instrText xml:space="preserve"> REF _Ref60753713 \r \h </w:instrText>
      </w:r>
      <w:r w:rsidR="009B0BDD">
        <w:rPr>
          <w:lang w:val="en-GB" w:eastAsia="ja-JP"/>
        </w:rPr>
      </w:r>
      <w:r w:rsidR="009B0BDD">
        <w:rPr>
          <w:lang w:val="en-GB" w:eastAsia="ja-JP"/>
        </w:rPr>
        <w:fldChar w:fldCharType="separate"/>
      </w:r>
      <w:r w:rsidR="009B0BDD">
        <w:rPr>
          <w:lang w:val="en-GB" w:eastAsia="ja-JP"/>
        </w:rPr>
        <w:t>[1]</w:t>
      </w:r>
      <w:r w:rsidR="009B0BDD">
        <w:rPr>
          <w:lang w:val="en-GB" w:eastAsia="ja-JP"/>
        </w:rPr>
        <w:fldChar w:fldCharType="end"/>
      </w:r>
      <w:r>
        <w:rPr>
          <w:lang w:val="en-GB" w:eastAsia="ja-JP"/>
        </w:rPr>
        <w:t xml:space="preserve">, only normal cyclic prefix is </w:t>
      </w:r>
      <w:r w:rsidR="00542F72">
        <w:rPr>
          <w:lang w:val="en-GB" w:eastAsia="ja-JP"/>
        </w:rPr>
        <w:t>to be considered.</w:t>
      </w:r>
      <w:r w:rsidR="00833B7A">
        <w:rPr>
          <w:lang w:val="en-GB" w:eastAsia="ja-JP"/>
        </w:rPr>
        <w:t xml:space="preserve"> Another objective is to adopt a common design framework for 480 and 960 kHz SCS.</w:t>
      </w:r>
      <w:r w:rsidR="00542F72">
        <w:rPr>
          <w:lang w:val="en-GB" w:eastAsia="ja-JP"/>
        </w:rPr>
        <w:t xml:space="preserve"> </w:t>
      </w:r>
      <w:r w:rsidR="00B42EBF">
        <w:rPr>
          <w:lang w:val="en-GB" w:eastAsia="ja-JP"/>
        </w:rPr>
        <w:t>For 960 kHz SCS, the CP length is 73 ns.</w:t>
      </w:r>
      <w:r w:rsidR="00833B7A">
        <w:rPr>
          <w:lang w:val="en-GB" w:eastAsia="ja-JP"/>
        </w:rPr>
        <w:t xml:space="preserve"> Due to the short CP length for 960 kHz SCS, it seems reasonable to define a one symbol beam switching gap between SS/PBCH block transmissions. </w:t>
      </w:r>
    </w:p>
    <w:p w14:paraId="18707319" w14:textId="4551E302" w:rsidR="00D67762" w:rsidRDefault="00BF48ED" w:rsidP="00512993">
      <w:pPr>
        <w:rPr>
          <w:lang w:val="en-GB" w:eastAsia="ja-JP"/>
        </w:rPr>
      </w:pPr>
      <w:r>
        <w:rPr>
          <w:lang w:val="en-GB" w:eastAsia="ja-JP"/>
        </w:rPr>
        <w:t xml:space="preserve">As an example design approach, the SSB time domain patterns for 480 and 960 kHz SCS </w:t>
      </w:r>
      <w:r w:rsidR="00B76097">
        <w:rPr>
          <w:lang w:val="en-GB" w:eastAsia="ja-JP"/>
        </w:rPr>
        <w:t>can be</w:t>
      </w:r>
      <w:r>
        <w:rPr>
          <w:lang w:val="en-GB" w:eastAsia="ja-JP"/>
        </w:rPr>
        <w:t xml:space="preserve"> based on the FR2 Case D pattern</w:t>
      </w:r>
      <w:r w:rsidR="006929A4">
        <w:rPr>
          <w:lang w:val="en-GB" w:eastAsia="ja-JP"/>
        </w:rPr>
        <w:t xml:space="preserve">, </w:t>
      </w:r>
      <w:r w:rsidR="00B76097">
        <w:rPr>
          <w:lang w:val="en-GB" w:eastAsia="ja-JP"/>
        </w:rPr>
        <w:t xml:space="preserve">but </w:t>
      </w:r>
      <w:r w:rsidR="006929A4">
        <w:rPr>
          <w:lang w:val="en-GB" w:eastAsia="ja-JP"/>
        </w:rPr>
        <w:t xml:space="preserve">adding a one symbol </w:t>
      </w:r>
      <w:r w:rsidR="00B76097">
        <w:rPr>
          <w:lang w:val="en-GB" w:eastAsia="ja-JP"/>
        </w:rPr>
        <w:t xml:space="preserve">gap for </w:t>
      </w:r>
      <w:r w:rsidR="006929A4">
        <w:rPr>
          <w:lang w:val="en-GB" w:eastAsia="ja-JP"/>
        </w:rPr>
        <w:t>beam switching between SSB beams</w:t>
      </w:r>
      <w:r w:rsidR="00B76097">
        <w:rPr>
          <w:lang w:val="en-GB" w:eastAsia="ja-JP"/>
        </w:rPr>
        <w:t xml:space="preserve"> as shown in</w:t>
      </w:r>
      <w:r w:rsidR="00D67762">
        <w:rPr>
          <w:lang w:val="en-GB" w:eastAsia="ja-JP"/>
        </w:rPr>
        <w:t xml:space="preserve"> </w:t>
      </w:r>
      <w:r w:rsidR="00D67762">
        <w:rPr>
          <w:lang w:val="en-GB" w:eastAsia="ja-JP"/>
        </w:rPr>
        <w:fldChar w:fldCharType="begin"/>
      </w:r>
      <w:r w:rsidR="00D67762">
        <w:rPr>
          <w:lang w:val="en-GB" w:eastAsia="ja-JP"/>
        </w:rPr>
        <w:instrText xml:space="preserve"> REF _Ref60992867 \h </w:instrText>
      </w:r>
      <w:r w:rsidR="00D67762">
        <w:rPr>
          <w:lang w:val="en-GB" w:eastAsia="ja-JP"/>
        </w:rPr>
      </w:r>
      <w:r w:rsidR="00D67762">
        <w:rPr>
          <w:lang w:val="en-GB" w:eastAsia="ja-JP"/>
        </w:rPr>
        <w:fldChar w:fldCharType="separate"/>
      </w:r>
      <w:r w:rsidR="00D67762">
        <w:t xml:space="preserve">Figure </w:t>
      </w:r>
      <w:r w:rsidR="00D67762">
        <w:rPr>
          <w:noProof/>
        </w:rPr>
        <w:t>4</w:t>
      </w:r>
      <w:r w:rsidR="00D67762">
        <w:rPr>
          <w:lang w:val="en-GB" w:eastAsia="ja-JP"/>
        </w:rPr>
        <w:fldChar w:fldCharType="end"/>
      </w:r>
      <w:r w:rsidR="006929A4">
        <w:rPr>
          <w:lang w:val="en-GB" w:eastAsia="ja-JP"/>
        </w:rPr>
        <w:t xml:space="preserve">. </w:t>
      </w:r>
    </w:p>
    <w:p w14:paraId="1FFFB3F6" w14:textId="77777777" w:rsidR="00406CB7" w:rsidRDefault="00406CB7" w:rsidP="00512993">
      <w:pPr>
        <w:rPr>
          <w:lang w:val="en-GB" w:eastAsia="ja-JP"/>
        </w:rPr>
      </w:pPr>
    </w:p>
    <w:p w14:paraId="5552B2FB" w14:textId="55370444" w:rsidR="00D67762" w:rsidRDefault="00D67762" w:rsidP="00512993">
      <w:pPr>
        <w:rPr>
          <w:lang w:val="en-GB" w:eastAsia="ja-JP"/>
        </w:rPr>
      </w:pPr>
      <w:r w:rsidRPr="00D67762">
        <w:rPr>
          <w:noProof/>
        </w:rPr>
        <w:drawing>
          <wp:inline distT="0" distB="0" distL="0" distR="0" wp14:anchorId="34DB10C0" wp14:editId="5E787497">
            <wp:extent cx="6120765" cy="1092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109220"/>
                    </a:xfrm>
                    <a:prstGeom prst="rect">
                      <a:avLst/>
                    </a:prstGeom>
                    <a:noFill/>
                    <a:ln>
                      <a:noFill/>
                    </a:ln>
                  </pic:spPr>
                </pic:pic>
              </a:graphicData>
            </a:graphic>
          </wp:inline>
        </w:drawing>
      </w:r>
    </w:p>
    <w:p w14:paraId="3AAB947F" w14:textId="493AE484" w:rsidR="00D67762" w:rsidRDefault="00D67762">
      <w:pPr>
        <w:pStyle w:val="Caption"/>
      </w:pPr>
      <w:bookmarkStart w:id="15" w:name="_Ref60992867"/>
      <w:r>
        <w:t xml:space="preserve">Figure </w:t>
      </w:r>
      <w:r>
        <w:fldChar w:fldCharType="begin"/>
      </w:r>
      <w:r>
        <w:instrText xml:space="preserve"> SEQ Figure \* ARABIC </w:instrText>
      </w:r>
      <w:r>
        <w:fldChar w:fldCharType="separate"/>
      </w:r>
      <w:r>
        <w:rPr>
          <w:noProof/>
        </w:rPr>
        <w:t>4</w:t>
      </w:r>
      <w:r>
        <w:fldChar w:fldCharType="end"/>
      </w:r>
      <w:bookmarkEnd w:id="15"/>
      <w:r w:rsidR="00406CB7">
        <w:t xml:space="preserve">: </w:t>
      </w:r>
      <w:r>
        <w:t>Example SSB time domain pattern for 480 and 960 kHz SCS. Pattern based on Case D pattern with one symbol gap inserted between SSBs.</w:t>
      </w:r>
    </w:p>
    <w:p w14:paraId="4C7936BC" w14:textId="77777777" w:rsidR="00406CB7" w:rsidRPr="00DC4504" w:rsidRDefault="00406CB7">
      <w:pPr>
        <w:rPr>
          <w:lang w:eastAsia="en-GB"/>
        </w:rPr>
      </w:pPr>
    </w:p>
    <w:p w14:paraId="4E4280E8" w14:textId="376F49AC" w:rsidR="00DB6B30" w:rsidRDefault="00D67762" w:rsidP="00512993">
      <w:pPr>
        <w:rPr>
          <w:lang w:val="en-GB" w:eastAsia="ja-JP"/>
        </w:rPr>
      </w:pPr>
      <w:r>
        <w:rPr>
          <w:lang w:val="en-GB" w:eastAsia="ja-JP"/>
        </w:rPr>
        <w:t xml:space="preserve">By modifying the Case D pattern slightly, all slots </w:t>
      </w:r>
      <w:r w:rsidR="0055533F">
        <w:rPr>
          <w:lang w:val="en-GB" w:eastAsia="ja-JP"/>
        </w:rPr>
        <w:t>could</w:t>
      </w:r>
      <w:r>
        <w:rPr>
          <w:lang w:val="en-GB" w:eastAsia="ja-JP"/>
        </w:rPr>
        <w:t xml:space="preserve"> have the same pattern</w:t>
      </w:r>
      <w:r w:rsidR="0055533F">
        <w:rPr>
          <w:lang w:val="en-GB" w:eastAsia="ja-JP"/>
        </w:rPr>
        <w:t xml:space="preserve"> as shown in </w:t>
      </w:r>
      <w:r>
        <w:rPr>
          <w:lang w:val="en-GB" w:eastAsia="ja-JP"/>
        </w:rPr>
        <w:fldChar w:fldCharType="begin"/>
      </w:r>
      <w:r>
        <w:rPr>
          <w:lang w:val="en-GB" w:eastAsia="ja-JP"/>
        </w:rPr>
        <w:instrText xml:space="preserve"> REF _Ref60992853 \h </w:instrText>
      </w:r>
      <w:r>
        <w:rPr>
          <w:lang w:val="en-GB" w:eastAsia="ja-JP"/>
        </w:rPr>
      </w:r>
      <w:r>
        <w:rPr>
          <w:lang w:val="en-GB" w:eastAsia="ja-JP"/>
        </w:rPr>
        <w:fldChar w:fldCharType="separate"/>
      </w:r>
      <w:r>
        <w:t xml:space="preserve">Figure </w:t>
      </w:r>
      <w:r>
        <w:rPr>
          <w:noProof/>
        </w:rPr>
        <w:t>5</w:t>
      </w:r>
      <w:r>
        <w:rPr>
          <w:lang w:val="en-GB" w:eastAsia="ja-JP"/>
        </w:rPr>
        <w:fldChar w:fldCharType="end"/>
      </w:r>
      <w:r>
        <w:rPr>
          <w:lang w:val="en-GB" w:eastAsia="ja-JP"/>
        </w:rPr>
        <w:t>.</w:t>
      </w:r>
    </w:p>
    <w:p w14:paraId="1262FF70" w14:textId="77777777" w:rsidR="00406CB7" w:rsidRDefault="00406CB7" w:rsidP="00512993">
      <w:pPr>
        <w:rPr>
          <w:lang w:val="en-GB" w:eastAsia="ja-JP"/>
        </w:rPr>
      </w:pPr>
    </w:p>
    <w:p w14:paraId="672B2E08" w14:textId="11A51692" w:rsidR="00D67762" w:rsidRDefault="00D67762" w:rsidP="00512993">
      <w:pPr>
        <w:rPr>
          <w:lang w:val="en-GB" w:eastAsia="ja-JP"/>
        </w:rPr>
      </w:pPr>
      <w:r w:rsidRPr="00D67762">
        <w:rPr>
          <w:noProof/>
        </w:rPr>
        <w:drawing>
          <wp:inline distT="0" distB="0" distL="0" distR="0" wp14:anchorId="68AEEB8E" wp14:editId="447F7DB8">
            <wp:extent cx="6120765" cy="10922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109220"/>
                    </a:xfrm>
                    <a:prstGeom prst="rect">
                      <a:avLst/>
                    </a:prstGeom>
                    <a:noFill/>
                    <a:ln>
                      <a:noFill/>
                    </a:ln>
                  </pic:spPr>
                </pic:pic>
              </a:graphicData>
            </a:graphic>
          </wp:inline>
        </w:drawing>
      </w:r>
    </w:p>
    <w:p w14:paraId="3C3F945C" w14:textId="6927D21E" w:rsidR="00D67762" w:rsidRDefault="00D67762" w:rsidP="00DC4504">
      <w:pPr>
        <w:pStyle w:val="Caption"/>
        <w:rPr>
          <w:lang w:val="en-GB" w:eastAsia="ja-JP"/>
        </w:rPr>
      </w:pPr>
      <w:bookmarkStart w:id="16" w:name="_Ref60992853"/>
      <w:r>
        <w:t xml:space="preserve">Figure </w:t>
      </w:r>
      <w:r>
        <w:fldChar w:fldCharType="begin"/>
      </w:r>
      <w:r>
        <w:instrText xml:space="preserve"> SEQ Figure \* ARABIC </w:instrText>
      </w:r>
      <w:r>
        <w:fldChar w:fldCharType="separate"/>
      </w:r>
      <w:r>
        <w:rPr>
          <w:noProof/>
        </w:rPr>
        <w:t>5</w:t>
      </w:r>
      <w:r>
        <w:fldChar w:fldCharType="end"/>
      </w:r>
      <w:bookmarkEnd w:id="16"/>
      <w:r w:rsidR="00406CB7">
        <w:t xml:space="preserve">: </w:t>
      </w:r>
      <w:r>
        <w:t>Example SSB time domain pattern for 480 and 960 kHz SCS. Pattern based on Case D pattern with one symbol gap inserted between SSBs and modified to have the same pattern in all slots.</w:t>
      </w:r>
    </w:p>
    <w:p w14:paraId="64F48135" w14:textId="77777777" w:rsidR="00406CB7" w:rsidRDefault="00406CB7" w:rsidP="00512993">
      <w:pPr>
        <w:rPr>
          <w:lang w:val="en-GB" w:eastAsia="ja-JP"/>
        </w:rPr>
      </w:pPr>
    </w:p>
    <w:p w14:paraId="1A2EC581" w14:textId="6135B884" w:rsidR="00D67762" w:rsidRDefault="00522644" w:rsidP="00512993">
      <w:pPr>
        <w:rPr>
          <w:lang w:val="en-GB" w:eastAsia="ja-JP"/>
        </w:rPr>
      </w:pPr>
      <w:r>
        <w:rPr>
          <w:lang w:val="en-GB" w:eastAsia="ja-JP"/>
        </w:rPr>
        <w:t>The FR2 Case D definition is</w:t>
      </w:r>
      <w:r w:rsidR="00B46C01">
        <w:rPr>
          <w:lang w:val="en-GB" w:eastAsia="ja-JP"/>
        </w:rPr>
        <w:t xml:space="preserve"> </w:t>
      </w:r>
      <w:r w:rsidR="00B46C01">
        <w:rPr>
          <w:lang w:val="en-GB" w:eastAsia="ja-JP"/>
        </w:rPr>
        <w:fldChar w:fldCharType="begin"/>
      </w:r>
      <w:r w:rsidR="00B46C01">
        <w:rPr>
          <w:lang w:val="en-GB" w:eastAsia="ja-JP"/>
        </w:rPr>
        <w:instrText xml:space="preserve"> REF _Ref60993913 \r \h </w:instrText>
      </w:r>
      <w:r w:rsidR="00B46C01">
        <w:rPr>
          <w:lang w:val="en-GB" w:eastAsia="ja-JP"/>
        </w:rPr>
      </w:r>
      <w:r w:rsidR="00B46C01">
        <w:rPr>
          <w:lang w:val="en-GB" w:eastAsia="ja-JP"/>
        </w:rPr>
        <w:fldChar w:fldCharType="separate"/>
      </w:r>
      <w:r w:rsidR="00B46C01">
        <w:rPr>
          <w:lang w:val="en-GB" w:eastAsia="ja-JP"/>
        </w:rPr>
        <w:t>[3]</w:t>
      </w:r>
      <w:r w:rsidR="00B46C01">
        <w:rPr>
          <w:lang w:val="en-GB" w:eastAsia="ja-JP"/>
        </w:rPr>
        <w:fldChar w:fldCharType="end"/>
      </w:r>
      <w:r>
        <w:rPr>
          <w:lang w:val="en-GB" w:eastAsia="ja-JP"/>
        </w:rPr>
        <w:t>:</w:t>
      </w:r>
    </w:p>
    <w:p w14:paraId="41BE5656" w14:textId="3192A233" w:rsidR="00D67762" w:rsidRDefault="00D67762" w:rsidP="00DC4504">
      <w:pPr>
        <w:ind w:left="567"/>
        <w:rPr>
          <w:lang w:eastAsia="ja-JP"/>
        </w:rPr>
      </w:pPr>
      <w:r>
        <w:rPr>
          <w:lang w:eastAsia="ja-JP"/>
        </w:rPr>
        <w:t xml:space="preserve">Case D - 120 kHz </w:t>
      </w:r>
      <w:r>
        <w:t>SCS</w:t>
      </w:r>
      <w:r>
        <w:rPr>
          <w:lang w:eastAsia="ja-JP"/>
        </w:rPr>
        <w:t xml:space="preserve">: the first symbols of the candidate SS/PBCH blocks have indexes </w:t>
      </w:r>
      <w:r>
        <w:rPr>
          <w:iCs/>
          <w:noProof/>
          <w:position w:val="-10"/>
        </w:rPr>
        <w:drawing>
          <wp:inline distT="0" distB="0" distL="0" distR="0" wp14:anchorId="77CDF365" wp14:editId="7DF44379">
            <wp:extent cx="1013460"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13460" cy="182880"/>
                    </a:xfrm>
                    <a:prstGeom prst="rect">
                      <a:avLst/>
                    </a:prstGeom>
                    <a:noFill/>
                    <a:ln>
                      <a:noFill/>
                    </a:ln>
                  </pic:spPr>
                </pic:pic>
              </a:graphicData>
            </a:graphic>
          </wp:inline>
        </w:drawing>
      </w:r>
      <w:r>
        <w:t xml:space="preserve">. For carrier frequencies within FR2,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Pr>
          <w:lang w:eastAsia="ja-JP"/>
        </w:rPr>
        <w:t>.</w:t>
      </w:r>
    </w:p>
    <w:p w14:paraId="7F73AFB8" w14:textId="6115A147" w:rsidR="0055533F" w:rsidRDefault="0055533F" w:rsidP="00512993">
      <w:pPr>
        <w:rPr>
          <w:lang w:val="en-GB" w:eastAsia="ja-JP"/>
        </w:rPr>
      </w:pPr>
      <w:r>
        <w:rPr>
          <w:lang w:val="en-GB" w:eastAsia="ja-JP"/>
        </w:rPr>
        <w:t>In the existing Case D pattern, it can be observed that n = 4, 9 and 14 are missing, allowing for longer (two slot) gap</w:t>
      </w:r>
      <w:r w:rsidR="00955356">
        <w:rPr>
          <w:lang w:val="en-GB" w:eastAsia="ja-JP"/>
        </w:rPr>
        <w:t>s</w:t>
      </w:r>
      <w:r>
        <w:rPr>
          <w:lang w:val="en-GB" w:eastAsia="ja-JP"/>
        </w:rPr>
        <w:t xml:space="preserve"> between adjacent SS/PBCH blocks. If it is deemed unnecessary to design for such gaps due to the short overall beam sweep time, then the basic pattern shown in </w:t>
      </w:r>
      <w:r>
        <w:rPr>
          <w:lang w:val="en-GB" w:eastAsia="ja-JP"/>
        </w:rPr>
        <w:fldChar w:fldCharType="begin"/>
      </w:r>
      <w:r>
        <w:rPr>
          <w:lang w:val="en-GB" w:eastAsia="ja-JP"/>
        </w:rPr>
        <w:instrText xml:space="preserve"> REF _Ref60992853 \h </w:instrText>
      </w:r>
      <w:r>
        <w:rPr>
          <w:lang w:val="en-GB" w:eastAsia="ja-JP"/>
        </w:rPr>
      </w:r>
      <w:r>
        <w:rPr>
          <w:lang w:val="en-GB" w:eastAsia="ja-JP"/>
        </w:rPr>
        <w:fldChar w:fldCharType="separate"/>
      </w:r>
      <w:r>
        <w:t xml:space="preserve">Figure </w:t>
      </w:r>
      <w:r>
        <w:rPr>
          <w:noProof/>
        </w:rPr>
        <w:t>5</w:t>
      </w:r>
      <w:r>
        <w:rPr>
          <w:lang w:val="en-GB" w:eastAsia="ja-JP"/>
        </w:rPr>
        <w:fldChar w:fldCharType="end"/>
      </w:r>
      <w:r>
        <w:rPr>
          <w:lang w:val="en-GB" w:eastAsia="ja-JP"/>
        </w:rPr>
        <w:t xml:space="preserve"> could be adopted with the following changes to the values of n:</w:t>
      </w:r>
    </w:p>
    <w:p w14:paraId="61654EC6" w14:textId="67D401EF" w:rsidR="00D67762" w:rsidRDefault="00522644" w:rsidP="00512993">
      <w:pPr>
        <w:rPr>
          <w:lang w:val="en-GB" w:eastAsia="ja-JP"/>
        </w:rPr>
      </w:pPr>
      <w:r>
        <w:rPr>
          <w:lang w:val="en-GB" w:eastAsia="ja-JP"/>
        </w:rPr>
        <w:t>{4, 9, 18, 23} + 28*</w:t>
      </w:r>
      <w:r w:rsidRPr="00DC4504">
        <w:rPr>
          <w:i/>
          <w:lang w:val="en-GB" w:eastAsia="ja-JP"/>
        </w:rPr>
        <w:t>n</w:t>
      </w:r>
      <w:r>
        <w:rPr>
          <w:lang w:val="en-GB" w:eastAsia="ja-JP"/>
        </w:rPr>
        <w:t xml:space="preserve">, with </w:t>
      </w:r>
      <w:r w:rsidRPr="00DC4504">
        <w:rPr>
          <w:i/>
          <w:lang w:val="en-GB" w:eastAsia="ja-JP"/>
        </w:rPr>
        <w:t>n</w:t>
      </w:r>
      <w:r>
        <w:rPr>
          <w:lang w:val="en-GB" w:eastAsia="ja-JP"/>
        </w:rPr>
        <w:t xml:space="preserve"> = 0, 1, 2, 3, 4, 5, 6, 7, 8, 9, 10, 11, 12, 13, 14, 15</w:t>
      </w:r>
    </w:p>
    <w:p w14:paraId="74AFD1E2" w14:textId="00869CFE" w:rsidR="00522644" w:rsidRDefault="00522644" w:rsidP="00512993">
      <w:pPr>
        <w:rPr>
          <w:lang w:val="en-GB" w:eastAsia="ja-JP"/>
        </w:rPr>
      </w:pPr>
      <w:r>
        <w:rPr>
          <w:lang w:val="en-GB" w:eastAsia="ja-JP"/>
        </w:rPr>
        <w:t>To summarize, the following is proposed:</w:t>
      </w:r>
    </w:p>
    <w:p w14:paraId="4E3742A0" w14:textId="0BC178AA" w:rsidR="00B563F2" w:rsidRDefault="00DB6B30" w:rsidP="00DB6B30">
      <w:pPr>
        <w:pStyle w:val="Proposal"/>
        <w:rPr>
          <w:lang w:val="en-GB"/>
        </w:rPr>
      </w:pPr>
      <w:bookmarkStart w:id="17" w:name="_Toc61860312"/>
      <w:r>
        <w:rPr>
          <w:lang w:val="en-GB"/>
        </w:rPr>
        <w:t>Discuss and agree on design principles for defining SSB time domain patterns for 480 and 960 kHz SCS</w:t>
      </w:r>
      <w:r w:rsidR="0055533F">
        <w:rPr>
          <w:lang w:val="en-GB"/>
        </w:rPr>
        <w:t>, including whether or not it is needed to include short gaps for beam switching (e.g., 1 OFDM symbol) and/or long gaps (e.g., 2 slots) to allow for UL transmissions</w:t>
      </w:r>
      <w:r>
        <w:rPr>
          <w:lang w:val="en-GB"/>
        </w:rPr>
        <w:t>.</w:t>
      </w:r>
      <w:bookmarkEnd w:id="17"/>
    </w:p>
    <w:p w14:paraId="0699C180" w14:textId="1FB0276C" w:rsidR="00DB6B30" w:rsidRDefault="00DB6B30" w:rsidP="00DB6B30">
      <w:pPr>
        <w:pStyle w:val="Proposal"/>
        <w:rPr>
          <w:lang w:val="en-GB"/>
        </w:rPr>
      </w:pPr>
      <w:bookmarkStart w:id="18" w:name="_Toc61860313"/>
      <w:r>
        <w:rPr>
          <w:lang w:val="en-GB"/>
        </w:rPr>
        <w:t>Use SSB time domain patterns for 120 and 240 kHz SCS as defined for FR2</w:t>
      </w:r>
      <w:r w:rsidR="0055533F">
        <w:rPr>
          <w:lang w:val="en-GB"/>
        </w:rPr>
        <w:t xml:space="preserve"> as a starting point for the design</w:t>
      </w:r>
      <w:r>
        <w:rPr>
          <w:lang w:val="en-GB"/>
        </w:rPr>
        <w:t>.</w:t>
      </w:r>
      <w:bookmarkEnd w:id="18"/>
    </w:p>
    <w:p w14:paraId="17A71F4F" w14:textId="4A787E93" w:rsidR="0063142C" w:rsidRDefault="0063142C" w:rsidP="0063142C">
      <w:pPr>
        <w:pStyle w:val="Heading3"/>
      </w:pPr>
      <w:r>
        <w:t>2.1.4</w:t>
      </w:r>
      <w:r>
        <w:tab/>
      </w:r>
      <w:r w:rsidRPr="00512993">
        <w:t xml:space="preserve">SSB </w:t>
      </w:r>
      <w:r>
        <w:t>transmission window</w:t>
      </w:r>
    </w:p>
    <w:p w14:paraId="546D09D8" w14:textId="77777777" w:rsidR="00BD3F19" w:rsidRDefault="00BD3F19" w:rsidP="00BD3F19">
      <w:pPr>
        <w:pStyle w:val="BodyText"/>
        <w:rPr>
          <w:rFonts w:eastAsia="Times New Roman" w:cs="Times New Roman"/>
          <w:szCs w:val="20"/>
        </w:rPr>
      </w:pPr>
      <w:r>
        <w:t>For NR-U in the 5/6 GHz band, allowing the SS/PBCH blocks to slide within the discovery burst transmission window due to LBT outcome is an optimization. At low-to-moderate loads – the preferred operating point of the system – and/or in controlled environments, a large fraction of the time, sliding is not needed. Furthermore, occasional dropping of an SS/PBCH block due to LBT failure is not disastrous to system performance.</w:t>
      </w:r>
    </w:p>
    <w:p w14:paraId="595ECEFE" w14:textId="44E6EDE9" w:rsidR="00BD3F19" w:rsidRDefault="00BD3F19" w:rsidP="00BD3F19">
      <w:bookmarkStart w:id="19" w:name="_Hlk52951538"/>
      <w:r>
        <w:t>In the 52.6 – 71 GHz band, the need for sliding within a window is even less since LBT failure is rare</w:t>
      </w:r>
      <w:r w:rsidR="00992946">
        <w:t xml:space="preserve"> or even nonexistent</w:t>
      </w:r>
      <w:r>
        <w:t xml:space="preserve">. LBT is not a requirement in all regulatory regions or bands, and thus it has been agreed to support both a mode with and without LBT. Even for regions/bands where LBT is required (e.g., c1 band according to HS EN 302 567), the LBT threshold is much higher than for the 5/6 GHz band. System </w:t>
      </w:r>
      <w:r>
        <w:lastRenderedPageBreak/>
        <w:t>simulation results (see</w:t>
      </w:r>
      <w:r w:rsidR="00992946">
        <w:t xml:space="preserve"> </w:t>
      </w:r>
      <w:r w:rsidR="00992946">
        <w:fldChar w:fldCharType="begin"/>
      </w:r>
      <w:r w:rsidR="00992946">
        <w:instrText xml:space="preserve"> REF _Ref61360516 \r \h </w:instrText>
      </w:r>
      <w:r w:rsidR="00992946">
        <w:fldChar w:fldCharType="separate"/>
      </w:r>
      <w:r w:rsidR="00992946">
        <w:t>[6]</w:t>
      </w:r>
      <w:r w:rsidR="00992946">
        <w:fldChar w:fldCharType="end"/>
      </w:r>
      <w:r>
        <w:t xml:space="preserve">) show that the system performance without LBT is on par, or even better, than with LBT. This can be explained by the fact that the inherent use of narrow beams and the large path loss significantly reduces the probability of interference. </w:t>
      </w:r>
    </w:p>
    <w:p w14:paraId="6AFF3A18" w14:textId="542BDBEC" w:rsidR="00BD3F19" w:rsidRDefault="00BD3F19" w:rsidP="00BD3F19">
      <w:r>
        <w:t xml:space="preserve">In addition, recent updates to draft </w:t>
      </w:r>
      <w:r w:rsidRPr="00EB27C8">
        <w:t>EN 302 567 v2.2.0</w:t>
      </w:r>
      <w:r>
        <w:t xml:space="preserve"> include a clause for Short Control Signaling</w:t>
      </w:r>
      <w:r w:rsidR="00C101B9">
        <w:t>. Based on this we make the following proposal</w:t>
      </w:r>
      <w:r>
        <w:t xml:space="preserve"> </w:t>
      </w:r>
      <w:r w:rsidR="00C101B9">
        <w:t>(</w:t>
      </w:r>
      <w:r>
        <w:t xml:space="preserve">as </w:t>
      </w:r>
      <w:r w:rsidR="00992946">
        <w:t xml:space="preserve">discussed in </w:t>
      </w:r>
      <w:r w:rsidR="00992946">
        <w:fldChar w:fldCharType="begin"/>
      </w:r>
      <w:r w:rsidR="00992946">
        <w:instrText xml:space="preserve"> REF _Ref52864098 \r \h </w:instrText>
      </w:r>
      <w:r w:rsidR="00992946">
        <w:fldChar w:fldCharType="separate"/>
      </w:r>
      <w:r w:rsidR="00992946">
        <w:t>[5]</w:t>
      </w:r>
      <w:r w:rsidR="00992946">
        <w:fldChar w:fldCharType="end"/>
      </w:r>
      <w:r w:rsidR="00992946">
        <w:t xml:space="preserve"> </w:t>
      </w:r>
      <w:r w:rsidR="00C101B9">
        <w:t xml:space="preserve">and </w:t>
      </w:r>
      <w:r w:rsidR="00992946">
        <w:t>repeated here for convenience):</w:t>
      </w:r>
    </w:p>
    <w:p w14:paraId="1627187D" w14:textId="77777777" w:rsidR="00992946" w:rsidRPr="00EB27C8" w:rsidRDefault="00992946" w:rsidP="00992946">
      <w:pPr>
        <w:pStyle w:val="Proposal"/>
        <w:tabs>
          <w:tab w:val="num" w:pos="1304"/>
        </w:tabs>
        <w:ind w:left="1304" w:hanging="1304"/>
        <w:jc w:val="left"/>
      </w:pPr>
      <w:bookmarkStart w:id="20" w:name="_Toc53738664"/>
      <w:bookmarkStart w:id="21" w:name="_Toc61356635"/>
      <w:bookmarkStart w:id="22" w:name="_Ref61765508"/>
      <w:bookmarkStart w:id="23" w:name="_Toc61860314"/>
      <w:r w:rsidRPr="00EB27C8">
        <w:t>Consistent with EN 302 567, when operating in LBT mode a node can access the channel without LBT for control signal/channel transmission</w:t>
      </w:r>
      <w:bookmarkEnd w:id="20"/>
      <w:r w:rsidRPr="00EB27C8">
        <w:t>s, the total duration of which shall not exceed 10ms within an observation period of 100ms</w:t>
      </w:r>
      <w:r>
        <w:t xml:space="preserve">. The following signals/channels </w:t>
      </w:r>
      <w:r w:rsidRPr="00EB27C8">
        <w:t>shall be classified as Short control signaling transmissions</w:t>
      </w:r>
      <w:r>
        <w:t>:</w:t>
      </w:r>
      <w:bookmarkEnd w:id="21"/>
      <w:bookmarkEnd w:id="22"/>
      <w:bookmarkEnd w:id="23"/>
    </w:p>
    <w:p w14:paraId="74E33DA9" w14:textId="77777777" w:rsidR="00992946" w:rsidRPr="00EB27C8" w:rsidRDefault="00992946" w:rsidP="00992946">
      <w:pPr>
        <w:pStyle w:val="Proposal"/>
        <w:numPr>
          <w:ilvl w:val="1"/>
          <w:numId w:val="3"/>
        </w:numPr>
        <w:tabs>
          <w:tab w:val="clear" w:pos="1440"/>
        </w:tabs>
        <w:overflowPunct w:val="0"/>
        <w:autoSpaceDE w:val="0"/>
        <w:autoSpaceDN w:val="0"/>
        <w:adjustRightInd w:val="0"/>
        <w:spacing w:line="240" w:lineRule="auto"/>
        <w:textAlignment w:val="baseline"/>
      </w:pPr>
      <w:bookmarkStart w:id="24" w:name="_Toc61356636"/>
      <w:bookmarkStart w:id="25" w:name="_Toc61860315"/>
      <w:r w:rsidRPr="00EB27C8">
        <w:t>SS/PBCH blocks</w:t>
      </w:r>
      <w:bookmarkEnd w:id="24"/>
      <w:bookmarkEnd w:id="25"/>
      <w:r w:rsidRPr="00EB27C8">
        <w:t xml:space="preserve"> </w:t>
      </w:r>
    </w:p>
    <w:p w14:paraId="4CC17CD2" w14:textId="77777777" w:rsidR="00992946" w:rsidRPr="00EB27C8" w:rsidRDefault="00992946" w:rsidP="00992946">
      <w:pPr>
        <w:pStyle w:val="Proposal"/>
        <w:numPr>
          <w:ilvl w:val="1"/>
          <w:numId w:val="3"/>
        </w:numPr>
        <w:tabs>
          <w:tab w:val="clear" w:pos="1440"/>
        </w:tabs>
        <w:overflowPunct w:val="0"/>
        <w:autoSpaceDE w:val="0"/>
        <w:autoSpaceDN w:val="0"/>
        <w:adjustRightInd w:val="0"/>
        <w:spacing w:line="240" w:lineRule="auto"/>
        <w:textAlignment w:val="baseline"/>
      </w:pPr>
      <w:bookmarkStart w:id="26" w:name="_Toc61356637"/>
      <w:bookmarkStart w:id="27" w:name="_Toc61860316"/>
      <w:r>
        <w:t>PRACH</w:t>
      </w:r>
      <w:bookmarkEnd w:id="26"/>
      <w:bookmarkEnd w:id="27"/>
      <w:r>
        <w:t xml:space="preserve"> </w:t>
      </w:r>
    </w:p>
    <w:p w14:paraId="35DE6B04" w14:textId="77777777" w:rsidR="00992946" w:rsidRPr="00EB27C8" w:rsidRDefault="00992946" w:rsidP="00992946">
      <w:pPr>
        <w:pStyle w:val="Proposal"/>
        <w:numPr>
          <w:ilvl w:val="1"/>
          <w:numId w:val="3"/>
        </w:numPr>
        <w:tabs>
          <w:tab w:val="clear" w:pos="1440"/>
        </w:tabs>
        <w:jc w:val="left"/>
      </w:pPr>
      <w:bookmarkStart w:id="28" w:name="_Toc61356638"/>
      <w:bookmarkStart w:id="29" w:name="_Toc61860317"/>
      <w:r>
        <w:t>FFS: Other</w:t>
      </w:r>
      <w:r w:rsidRPr="00EB27C8">
        <w:t xml:space="preserve"> control transmissions not multiplexed with user data </w:t>
      </w:r>
      <w:r>
        <w:t>(subject to gNB configuration)</w:t>
      </w:r>
      <w:bookmarkEnd w:id="28"/>
      <w:bookmarkEnd w:id="29"/>
    </w:p>
    <w:p w14:paraId="2719A84B" w14:textId="7296787E" w:rsidR="00BD3F19" w:rsidRDefault="00BD3F19" w:rsidP="00BD3F19">
      <w:r>
        <w:t>For these reasons, it is not necessary to optimize the SS/PBCH transmission/reception mechanism by introducing a transmission window.</w:t>
      </w:r>
      <w:bookmarkEnd w:id="19"/>
      <w:r w:rsidR="00992946">
        <w:t xml:space="preserve"> In addition, this allows a design that is common between licensed</w:t>
      </w:r>
      <w:r w:rsidR="00505082">
        <w:t xml:space="preserve"> and</w:t>
      </w:r>
      <w:r w:rsidR="00992946">
        <w:t xml:space="preserve"> unlicensed operation </w:t>
      </w:r>
      <w:r w:rsidR="00505082">
        <w:t xml:space="preserve">(both with and without LBT) </w:t>
      </w:r>
      <w:r w:rsidR="00992946">
        <w:t xml:space="preserve">which simplifies the UE procedures for initial access when </w:t>
      </w:r>
      <w:r w:rsidR="00505082">
        <w:t>it is unknown to the UE if the gNB operates with or without LBT.</w:t>
      </w:r>
    </w:p>
    <w:p w14:paraId="580DA518" w14:textId="415F5D88" w:rsidR="00245015" w:rsidRDefault="00245015" w:rsidP="00245015">
      <w:pPr>
        <w:pStyle w:val="Observation"/>
      </w:pPr>
      <w:bookmarkStart w:id="30" w:name="_Toc61860306"/>
      <w:r>
        <w:t>It is not necessary to optimize the SS/PBCH transmission/reception mechanism by introducing a transmission window, especially since SS/PBCH blocks can be classified as short control signaling transmissions consistent with EN 302 567.</w:t>
      </w:r>
      <w:bookmarkEnd w:id="30"/>
    </w:p>
    <w:p w14:paraId="2CC8B1E3" w14:textId="78BC1D3F" w:rsidR="00992946" w:rsidRPr="00DC4504" w:rsidRDefault="00992946" w:rsidP="00BD3F19">
      <w:pPr>
        <w:rPr>
          <w:lang w:eastAsia="ja-JP"/>
        </w:rPr>
      </w:pPr>
    </w:p>
    <w:p w14:paraId="56F2A983" w14:textId="361CFA68" w:rsidR="00512993" w:rsidRDefault="00512993" w:rsidP="00512993">
      <w:pPr>
        <w:pStyle w:val="Heading2"/>
      </w:pPr>
      <w:r>
        <w:t>2.2</w:t>
      </w:r>
      <w:r>
        <w:tab/>
        <w:t>RACH Related Aspects</w:t>
      </w:r>
    </w:p>
    <w:p w14:paraId="44FC8737" w14:textId="69D37CC1" w:rsidR="00645C26" w:rsidRPr="005C5033" w:rsidRDefault="00C101B9" w:rsidP="00FD1284">
      <w:pPr>
        <w:pStyle w:val="B1"/>
        <w:spacing w:after="0"/>
        <w:ind w:left="0" w:firstLine="0"/>
        <w:rPr>
          <w:rFonts w:ascii="Arial" w:eastAsia="DengXian" w:hAnsi="Arial" w:cs="Arial"/>
          <w:szCs w:val="20"/>
          <w:lang w:eastAsia="ko-KR"/>
        </w:rPr>
      </w:pPr>
      <w:r>
        <w:rPr>
          <w:rFonts w:ascii="Arial" w:eastAsia="DengXian" w:hAnsi="Arial" w:cs="Arial"/>
          <w:szCs w:val="20"/>
          <w:lang w:eastAsia="ko-KR"/>
        </w:rPr>
        <w:t xml:space="preserve">As discussed in Section 2.1.1 with respect to SSB, we prefer to </w:t>
      </w:r>
      <w:r w:rsidR="00645C26" w:rsidRPr="005C5033">
        <w:rPr>
          <w:rFonts w:ascii="Arial" w:eastAsia="DengXian" w:hAnsi="Arial" w:cs="Arial"/>
          <w:szCs w:val="20"/>
          <w:lang w:eastAsia="ko-KR"/>
        </w:rPr>
        <w:t>avoid re-designing the FR2 initial access framework</w:t>
      </w:r>
      <w:r>
        <w:rPr>
          <w:rFonts w:ascii="Arial" w:eastAsia="DengXian" w:hAnsi="Arial" w:cs="Arial"/>
          <w:szCs w:val="20"/>
          <w:lang w:eastAsia="ko-KR"/>
        </w:rPr>
        <w:t xml:space="preserve">. Further, we propose in </w:t>
      </w:r>
      <w:r>
        <w:rPr>
          <w:rFonts w:ascii="Arial" w:eastAsia="DengXian" w:hAnsi="Arial" w:cs="Arial"/>
          <w:szCs w:val="20"/>
          <w:lang w:eastAsia="ko-KR"/>
        </w:rPr>
        <w:fldChar w:fldCharType="begin"/>
      </w:r>
      <w:r>
        <w:rPr>
          <w:rFonts w:ascii="Arial" w:eastAsia="DengXian" w:hAnsi="Arial" w:cs="Arial"/>
          <w:szCs w:val="20"/>
          <w:lang w:eastAsia="ko-KR"/>
        </w:rPr>
        <w:instrText xml:space="preserve"> REF _Ref61762180 \r \h </w:instrText>
      </w:r>
      <w:r>
        <w:rPr>
          <w:rFonts w:ascii="Arial" w:eastAsia="DengXian" w:hAnsi="Arial" w:cs="Arial"/>
          <w:szCs w:val="20"/>
          <w:lang w:eastAsia="ko-KR"/>
        </w:rPr>
      </w:r>
      <w:r>
        <w:rPr>
          <w:rFonts w:ascii="Arial" w:eastAsia="DengXian" w:hAnsi="Arial" w:cs="Arial"/>
          <w:szCs w:val="20"/>
          <w:lang w:eastAsia="ko-KR"/>
        </w:rPr>
        <w:fldChar w:fldCharType="separate"/>
      </w:r>
      <w:r>
        <w:rPr>
          <w:rFonts w:ascii="Arial" w:eastAsia="DengXian" w:hAnsi="Arial" w:cs="Arial"/>
          <w:szCs w:val="20"/>
          <w:lang w:eastAsia="ko-KR"/>
        </w:rPr>
        <w:t>Proposal 1</w:t>
      </w:r>
      <w:r>
        <w:rPr>
          <w:rFonts w:ascii="Arial" w:eastAsia="DengXian" w:hAnsi="Arial" w:cs="Arial"/>
          <w:szCs w:val="20"/>
          <w:lang w:eastAsia="ko-KR"/>
        </w:rPr>
        <w:fldChar w:fldCharType="end"/>
      </w:r>
      <w:r>
        <w:rPr>
          <w:rFonts w:ascii="Arial" w:eastAsia="DengXian" w:hAnsi="Arial" w:cs="Arial"/>
          <w:szCs w:val="20"/>
          <w:lang w:eastAsia="ko-KR"/>
        </w:rPr>
        <w:t xml:space="preserve"> that </w:t>
      </w:r>
      <w:r w:rsidRPr="00C101B9">
        <w:rPr>
          <w:rFonts w:ascii="Arial" w:eastAsia="DengXian" w:hAnsi="Arial" w:cs="Arial"/>
          <w:szCs w:val="20"/>
          <w:lang w:eastAsia="ko-KR"/>
        </w:rPr>
        <w:t xml:space="preserve">120 kHz SCS </w:t>
      </w:r>
      <w:r>
        <w:rPr>
          <w:rFonts w:ascii="Arial" w:eastAsia="DengXian" w:hAnsi="Arial" w:cs="Arial"/>
          <w:szCs w:val="20"/>
          <w:lang w:eastAsia="ko-KR"/>
        </w:rPr>
        <w:t xml:space="preserve">is supported for </w:t>
      </w:r>
      <w:r w:rsidRPr="00C101B9">
        <w:rPr>
          <w:rFonts w:ascii="Arial" w:eastAsia="DengXian" w:hAnsi="Arial" w:cs="Arial"/>
          <w:szCs w:val="20"/>
          <w:lang w:eastAsia="ko-KR"/>
        </w:rPr>
        <w:t xml:space="preserve">initial access related </w:t>
      </w:r>
      <w:r w:rsidRPr="005C5033">
        <w:rPr>
          <w:rFonts w:ascii="Arial" w:eastAsia="DengXian" w:hAnsi="Arial" w:cs="Arial"/>
          <w:szCs w:val="20"/>
          <w:lang w:eastAsia="ko-KR"/>
        </w:rPr>
        <w:t>signals/channels in an initial BWP</w:t>
      </w:r>
      <w:r w:rsidR="00C63A22" w:rsidRPr="005C5033">
        <w:rPr>
          <w:rFonts w:ascii="Arial" w:eastAsia="DengXian" w:hAnsi="Arial" w:cs="Arial"/>
          <w:szCs w:val="20"/>
          <w:lang w:eastAsia="ko-KR"/>
        </w:rPr>
        <w:t xml:space="preserve">, which includes PRACH. Based on this, we don't believe is necessary to introduce </w:t>
      </w:r>
      <w:r w:rsidR="00645C26" w:rsidRPr="005C5033">
        <w:rPr>
          <w:rFonts w:ascii="Arial" w:eastAsia="DengXian" w:hAnsi="Arial" w:cs="Arial"/>
          <w:szCs w:val="20"/>
          <w:lang w:eastAsia="ko-KR"/>
        </w:rPr>
        <w:t>additional SCSs (480</w:t>
      </w:r>
      <w:r w:rsidR="00E734D8" w:rsidRPr="005C5033">
        <w:rPr>
          <w:rFonts w:ascii="Arial" w:eastAsia="DengXian" w:hAnsi="Arial" w:cs="Arial"/>
          <w:szCs w:val="20"/>
          <w:lang w:eastAsia="ko-KR"/>
        </w:rPr>
        <w:t>/</w:t>
      </w:r>
      <w:r w:rsidR="00645C26" w:rsidRPr="005C5033">
        <w:rPr>
          <w:rFonts w:ascii="Arial" w:eastAsia="DengXian" w:hAnsi="Arial" w:cs="Arial"/>
          <w:szCs w:val="20"/>
          <w:lang w:eastAsia="ko-KR"/>
        </w:rPr>
        <w:t>960</w:t>
      </w:r>
      <w:r w:rsidR="00EC74AE" w:rsidRPr="005C5033">
        <w:rPr>
          <w:rFonts w:ascii="Arial" w:eastAsia="DengXian" w:hAnsi="Arial" w:cs="Arial"/>
          <w:szCs w:val="20"/>
          <w:lang w:eastAsia="ko-KR"/>
        </w:rPr>
        <w:t> </w:t>
      </w:r>
      <w:r w:rsidR="00645C26" w:rsidRPr="005C5033">
        <w:rPr>
          <w:rFonts w:ascii="Arial" w:eastAsia="DengXian" w:hAnsi="Arial" w:cs="Arial"/>
          <w:szCs w:val="20"/>
          <w:lang w:eastAsia="ko-KR"/>
        </w:rPr>
        <w:t xml:space="preserve">kHz) </w:t>
      </w:r>
      <w:r w:rsidR="00C63A22" w:rsidRPr="005C5033">
        <w:rPr>
          <w:rFonts w:ascii="Arial" w:eastAsia="DengXian" w:hAnsi="Arial" w:cs="Arial"/>
          <w:szCs w:val="20"/>
          <w:lang w:eastAsia="ko-KR"/>
        </w:rPr>
        <w:t>for PRACH for initial access</w:t>
      </w:r>
      <w:r w:rsidR="00645C26" w:rsidRPr="005C5033">
        <w:rPr>
          <w:rFonts w:ascii="Arial" w:eastAsia="DengXian" w:hAnsi="Arial" w:cs="Arial"/>
          <w:szCs w:val="20"/>
          <w:lang w:eastAsia="ko-KR"/>
        </w:rPr>
        <w:t>. However, as discussed in Section</w:t>
      </w:r>
      <w:r w:rsidR="00522BF6" w:rsidRPr="005C5033">
        <w:rPr>
          <w:rFonts w:ascii="Arial" w:eastAsia="DengXian" w:hAnsi="Arial" w:cs="Arial"/>
          <w:szCs w:val="20"/>
          <w:lang w:eastAsia="ko-KR"/>
        </w:rPr>
        <w:t xml:space="preserve"> 2.1.2</w:t>
      </w:r>
      <w:r w:rsidR="00645C26" w:rsidRPr="005C5033">
        <w:rPr>
          <w:rFonts w:ascii="Arial" w:eastAsia="DengXian" w:hAnsi="Arial" w:cs="Arial"/>
          <w:szCs w:val="20"/>
          <w:lang w:eastAsia="ko-KR"/>
        </w:rPr>
        <w:t>, for cases other than initial access (e.g. in an SCell</w:t>
      </w:r>
      <w:r w:rsidR="00C63A22" w:rsidRPr="005C5033">
        <w:rPr>
          <w:rFonts w:ascii="Arial" w:eastAsia="DengXian" w:hAnsi="Arial" w:cs="Arial"/>
          <w:szCs w:val="20"/>
          <w:lang w:eastAsia="ko-KR"/>
        </w:rPr>
        <w:t xml:space="preserve">) where coverage is not a concern, introduction of 480/960 kHz SCS for PRACH (in addition to SSB) would allow for single </w:t>
      </w:r>
      <w:r w:rsidR="00645C26" w:rsidRPr="005C5033">
        <w:rPr>
          <w:rFonts w:ascii="Arial" w:eastAsia="DengXian" w:hAnsi="Arial" w:cs="Arial"/>
          <w:szCs w:val="20"/>
          <w:lang w:eastAsia="ko-KR"/>
        </w:rPr>
        <w:t xml:space="preserve">numerology </w:t>
      </w:r>
      <w:r w:rsidR="00C63A22" w:rsidRPr="005C5033">
        <w:rPr>
          <w:rFonts w:ascii="Arial" w:eastAsia="DengXian" w:hAnsi="Arial" w:cs="Arial"/>
          <w:szCs w:val="20"/>
          <w:lang w:eastAsia="ko-KR"/>
        </w:rPr>
        <w:t>operation of all signals/channels</w:t>
      </w:r>
      <w:r w:rsidR="00645C26" w:rsidRPr="005C5033">
        <w:rPr>
          <w:rFonts w:ascii="Arial" w:eastAsia="DengXian" w:hAnsi="Arial" w:cs="Arial"/>
          <w:szCs w:val="20"/>
          <w:lang w:eastAsia="ko-KR"/>
        </w:rPr>
        <w:t>.</w:t>
      </w:r>
    </w:p>
    <w:p w14:paraId="0C3BEA2E" w14:textId="77777777" w:rsidR="00645C26" w:rsidRPr="005C5033" w:rsidRDefault="00645C26" w:rsidP="00FD1284">
      <w:pPr>
        <w:pStyle w:val="B1"/>
        <w:spacing w:after="0"/>
        <w:ind w:left="0" w:firstLine="0"/>
        <w:rPr>
          <w:rFonts w:ascii="Arial" w:eastAsia="DengXian" w:hAnsi="Arial" w:cs="Arial"/>
          <w:szCs w:val="20"/>
          <w:lang w:eastAsia="ko-KR"/>
        </w:rPr>
      </w:pPr>
    </w:p>
    <w:p w14:paraId="504D22D0" w14:textId="368EC284" w:rsidR="00ED26B8" w:rsidRPr="00AC63EF" w:rsidRDefault="00ED26B8" w:rsidP="005C5033">
      <w:pPr>
        <w:pStyle w:val="Proposal"/>
        <w:rPr>
          <w:rFonts w:eastAsia="DengXian" w:cs="Arial"/>
          <w:szCs w:val="20"/>
          <w:lang w:eastAsia="ko-KR"/>
        </w:rPr>
      </w:pPr>
      <w:bookmarkStart w:id="31" w:name="_Toc61860318"/>
      <w:r w:rsidRPr="00FD1DE5">
        <w:rPr>
          <w:rFonts w:eastAsia="DengXian" w:cs="Arial"/>
          <w:szCs w:val="20"/>
          <w:lang w:eastAsia="ko-KR"/>
        </w:rPr>
        <w:t>For cases other</w:t>
      </w:r>
      <w:r w:rsidRPr="00AC63EF">
        <w:rPr>
          <w:rFonts w:eastAsia="DengXian" w:cs="Arial"/>
          <w:szCs w:val="20"/>
          <w:lang w:eastAsia="ko-KR"/>
        </w:rPr>
        <w:t xml:space="preserve"> than initial access (e.g. for an SCell), support 480 and 960 kHz SCS for PRACH</w:t>
      </w:r>
      <w:bookmarkEnd w:id="31"/>
    </w:p>
    <w:p w14:paraId="63841438" w14:textId="53A736D6" w:rsidR="00645C26" w:rsidRPr="005C5033" w:rsidRDefault="00645C26" w:rsidP="00FD1284">
      <w:pPr>
        <w:pStyle w:val="B1"/>
        <w:spacing w:after="0"/>
        <w:ind w:left="0" w:firstLine="0"/>
        <w:rPr>
          <w:rFonts w:ascii="Arial" w:eastAsia="DengXian" w:hAnsi="Arial" w:cs="Arial"/>
          <w:szCs w:val="20"/>
          <w:lang w:eastAsia="ko-KR"/>
        </w:rPr>
      </w:pPr>
    </w:p>
    <w:p w14:paraId="2C3A6272" w14:textId="4ABC3308" w:rsidR="00645C26" w:rsidRPr="005C5033" w:rsidRDefault="00C101B9"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As shown in the WID objectives listed in Section 1, i</w:t>
      </w:r>
      <w:r w:rsidR="00645C26" w:rsidRPr="005C5033">
        <w:rPr>
          <w:rFonts w:ascii="Arial" w:eastAsia="DengXian" w:hAnsi="Arial" w:cs="Arial"/>
          <w:szCs w:val="20"/>
          <w:lang w:eastAsia="ko-KR"/>
        </w:rPr>
        <w:t>t has been agreed to support PR</w:t>
      </w:r>
      <w:r w:rsidR="006D342D" w:rsidRPr="005C5033">
        <w:rPr>
          <w:rFonts w:ascii="Arial" w:eastAsia="DengXian" w:hAnsi="Arial" w:cs="Arial"/>
          <w:szCs w:val="20"/>
          <w:lang w:eastAsia="ko-KR"/>
        </w:rPr>
        <w:t>A</w:t>
      </w:r>
      <w:r w:rsidR="00645C26" w:rsidRPr="005C5033">
        <w:rPr>
          <w:rFonts w:ascii="Arial" w:eastAsia="DengXian" w:hAnsi="Arial" w:cs="Arial"/>
          <w:szCs w:val="20"/>
          <w:lang w:eastAsia="ko-KR"/>
        </w:rPr>
        <w:t>CH sequence length L = 139/571/1151, which is useful from a coverage perspective for 120</w:t>
      </w:r>
      <w:r w:rsidR="00EC74AE" w:rsidRPr="005C5033">
        <w:rPr>
          <w:rFonts w:ascii="Arial" w:eastAsia="DengXian" w:hAnsi="Arial" w:cs="Arial"/>
          <w:szCs w:val="20"/>
          <w:lang w:eastAsia="ko-KR"/>
        </w:rPr>
        <w:t> </w:t>
      </w:r>
      <w:r w:rsidR="00645C26" w:rsidRPr="005C5033">
        <w:rPr>
          <w:rFonts w:ascii="Arial" w:eastAsia="DengXian" w:hAnsi="Arial" w:cs="Arial"/>
          <w:szCs w:val="20"/>
          <w:lang w:eastAsia="ko-KR"/>
        </w:rPr>
        <w:t xml:space="preserve">kHz PRACH. </w:t>
      </w:r>
      <w:r w:rsidR="00C63A22" w:rsidRPr="005C5033">
        <w:rPr>
          <w:rFonts w:ascii="Arial" w:eastAsia="DengXian" w:hAnsi="Arial" w:cs="Arial"/>
          <w:szCs w:val="20"/>
          <w:lang w:eastAsia="ko-KR"/>
        </w:rPr>
        <w:t>However, f</w:t>
      </w:r>
      <w:r w:rsidR="00645C26" w:rsidRPr="005C5033">
        <w:rPr>
          <w:rFonts w:ascii="Arial" w:eastAsia="DengXian" w:hAnsi="Arial" w:cs="Arial"/>
          <w:szCs w:val="20"/>
          <w:lang w:eastAsia="ko-KR"/>
        </w:rPr>
        <w:t>or 480/960</w:t>
      </w:r>
      <w:r w:rsidR="00EC74AE" w:rsidRPr="005C5033">
        <w:rPr>
          <w:rFonts w:ascii="Arial" w:eastAsia="DengXian" w:hAnsi="Arial" w:cs="Arial"/>
          <w:szCs w:val="20"/>
          <w:lang w:eastAsia="ko-KR"/>
        </w:rPr>
        <w:t> </w:t>
      </w:r>
      <w:r w:rsidR="00645C26" w:rsidRPr="005C5033">
        <w:rPr>
          <w:rFonts w:ascii="Arial" w:eastAsia="DengXian" w:hAnsi="Arial" w:cs="Arial"/>
          <w:szCs w:val="20"/>
          <w:lang w:eastAsia="ko-KR"/>
        </w:rPr>
        <w:t>kHz PRACH</w:t>
      </w:r>
      <w:r w:rsidR="00D2511A" w:rsidRPr="005C5033">
        <w:rPr>
          <w:rFonts w:ascii="Arial" w:eastAsia="DengXian" w:hAnsi="Arial" w:cs="Arial"/>
          <w:szCs w:val="20"/>
          <w:lang w:eastAsia="ko-KR"/>
        </w:rPr>
        <w:t xml:space="preserve"> </w:t>
      </w:r>
      <w:r w:rsidR="00645C26" w:rsidRPr="005C5033">
        <w:rPr>
          <w:rFonts w:ascii="Arial" w:eastAsia="DengXian" w:hAnsi="Arial" w:cs="Arial"/>
          <w:szCs w:val="20"/>
          <w:lang w:eastAsia="ko-KR"/>
        </w:rPr>
        <w:t xml:space="preserve">sequence lengths </w:t>
      </w:r>
      <w:r w:rsidR="00AE3CFE" w:rsidRPr="005C5033">
        <w:rPr>
          <w:rFonts w:ascii="Arial" w:eastAsia="DengXian" w:hAnsi="Arial" w:cs="Arial"/>
          <w:szCs w:val="20"/>
          <w:lang w:eastAsia="ko-KR"/>
        </w:rPr>
        <w:t>L = 571/1151</w:t>
      </w:r>
      <w:r w:rsidR="00645C26" w:rsidRPr="005C5033">
        <w:rPr>
          <w:rFonts w:ascii="Arial" w:eastAsia="DengXian" w:hAnsi="Arial" w:cs="Arial"/>
          <w:szCs w:val="20"/>
          <w:lang w:eastAsia="ko-KR"/>
        </w:rPr>
        <w:t xml:space="preserve"> would</w:t>
      </w:r>
      <w:r w:rsidR="00D2511A" w:rsidRPr="005C5033">
        <w:rPr>
          <w:rFonts w:ascii="Arial" w:eastAsia="DengXian" w:hAnsi="Arial" w:cs="Arial"/>
          <w:szCs w:val="20"/>
          <w:lang w:eastAsia="ko-KR"/>
        </w:rPr>
        <w:t xml:space="preserve"> </w:t>
      </w:r>
      <w:r w:rsidR="00645C26" w:rsidRPr="005C5033">
        <w:rPr>
          <w:rFonts w:ascii="Arial" w:eastAsia="DengXian" w:hAnsi="Arial" w:cs="Arial"/>
          <w:szCs w:val="20"/>
          <w:lang w:eastAsia="ko-KR"/>
        </w:rPr>
        <w:t>lead to excessive PRACH bandwidth</w:t>
      </w:r>
      <w:r w:rsidR="00C63A22" w:rsidRPr="005C5033">
        <w:rPr>
          <w:rFonts w:ascii="Arial" w:eastAsia="DengXian" w:hAnsi="Arial" w:cs="Arial"/>
          <w:szCs w:val="20"/>
          <w:lang w:eastAsia="ko-KR"/>
        </w:rPr>
        <w:t xml:space="preserve"> (e.g., 548 MHz/1.1 GHz for 960 kHz SCS). Such wide PRACH bandwidth is </w:t>
      </w:r>
      <w:r w:rsidR="00645C26" w:rsidRPr="005C5033">
        <w:rPr>
          <w:rFonts w:ascii="Arial" w:eastAsia="DengXian" w:hAnsi="Arial" w:cs="Arial"/>
          <w:szCs w:val="20"/>
          <w:lang w:eastAsia="ko-KR"/>
        </w:rPr>
        <w:t>not needed in order to maximize PRACH transmission power given regulatory/UE power limits.</w:t>
      </w:r>
    </w:p>
    <w:p w14:paraId="739FA6BE" w14:textId="6D6EB30A" w:rsidR="000F0573" w:rsidRPr="005C5033" w:rsidRDefault="000F0573" w:rsidP="000F0573">
      <w:pPr>
        <w:pStyle w:val="B1"/>
        <w:spacing w:after="0"/>
        <w:ind w:left="0" w:firstLine="0"/>
        <w:rPr>
          <w:rFonts w:ascii="Arial" w:eastAsia="DengXian" w:hAnsi="Arial" w:cs="Arial"/>
          <w:szCs w:val="20"/>
          <w:lang w:eastAsia="ko-KR"/>
        </w:rPr>
      </w:pPr>
    </w:p>
    <w:p w14:paraId="49A74E20" w14:textId="337960E9" w:rsidR="000F0573" w:rsidRPr="005C5033" w:rsidRDefault="000F0573" w:rsidP="005C5033">
      <w:pPr>
        <w:pStyle w:val="Observation"/>
        <w:rPr>
          <w:rFonts w:eastAsia="DengXian" w:cs="Arial"/>
          <w:szCs w:val="20"/>
          <w:lang w:eastAsia="ko-KR"/>
        </w:rPr>
      </w:pPr>
      <w:bookmarkStart w:id="32" w:name="_Toc61860307"/>
      <w:r w:rsidRPr="005C5033">
        <w:t xml:space="preserve">While </w:t>
      </w:r>
      <w:r w:rsidRPr="005C5033">
        <w:rPr>
          <w:rFonts w:eastAsia="DengXian" w:cs="Arial"/>
          <w:szCs w:val="20"/>
          <w:lang w:eastAsia="ko-KR"/>
        </w:rPr>
        <w:t>L = 139/571/1151 is beneficial for 120 kHz PRACH from a coverage perspective, the longer sequence lengths (L = 571/1151) lead to excessive PRACH bandwidth</w:t>
      </w:r>
      <w:r w:rsidR="00C63A22" w:rsidRPr="005C5033">
        <w:rPr>
          <w:rFonts w:eastAsia="DengXian" w:cs="Arial"/>
          <w:szCs w:val="20"/>
          <w:lang w:eastAsia="ko-KR"/>
        </w:rPr>
        <w:t xml:space="preserve"> for 480/960 kHz PRACH</w:t>
      </w:r>
      <w:r w:rsidRPr="005C5033">
        <w:rPr>
          <w:rFonts w:eastAsia="DengXian" w:cs="Arial"/>
          <w:szCs w:val="20"/>
          <w:lang w:eastAsia="ko-KR"/>
        </w:rPr>
        <w:t>, and are not needed in order to maximize PRACH transmission power given regulatory/UE power limits.</w:t>
      </w:r>
      <w:bookmarkEnd w:id="32"/>
    </w:p>
    <w:p w14:paraId="326D09ED" w14:textId="77777777" w:rsidR="000F0573" w:rsidRPr="005C5033" w:rsidRDefault="000F0573" w:rsidP="000F0573">
      <w:pPr>
        <w:pStyle w:val="B1"/>
        <w:spacing w:after="0"/>
        <w:ind w:left="0" w:firstLine="0"/>
        <w:rPr>
          <w:rFonts w:ascii="Arial" w:eastAsia="DengXian" w:hAnsi="Arial" w:cs="Arial"/>
          <w:szCs w:val="20"/>
          <w:lang w:eastAsia="ko-KR"/>
        </w:rPr>
      </w:pPr>
    </w:p>
    <w:p w14:paraId="1C229CF2" w14:textId="60E3062E" w:rsidR="000F0573" w:rsidRPr="005C5033" w:rsidRDefault="000F0573" w:rsidP="005C5033">
      <w:pPr>
        <w:pStyle w:val="Proposal"/>
        <w:rPr>
          <w:rFonts w:eastAsia="DengXian" w:cs="Arial"/>
          <w:szCs w:val="20"/>
          <w:lang w:eastAsia="ko-KR"/>
        </w:rPr>
      </w:pPr>
      <w:bookmarkStart w:id="33" w:name="_Toc61860319"/>
      <w:r w:rsidRPr="005C5033">
        <w:t>Specify support for all sequen</w:t>
      </w:r>
      <w:r w:rsidRPr="005C5033">
        <w:rPr>
          <w:rFonts w:eastAsia="DengXian" w:cs="Arial"/>
          <w:szCs w:val="20"/>
          <w:lang w:eastAsia="ko-KR"/>
        </w:rPr>
        <w:t>ce lengths (139/571/1151) for 120 kHz PRACH. For 480/960 kHz PRACH, specify support for only L = 139.</w:t>
      </w:r>
      <w:bookmarkEnd w:id="33"/>
    </w:p>
    <w:p w14:paraId="2CB48349" w14:textId="241D584B" w:rsidR="00ED26B8" w:rsidRPr="005C5033" w:rsidRDefault="00ED26B8" w:rsidP="00FD1284">
      <w:pPr>
        <w:pStyle w:val="B1"/>
        <w:spacing w:after="0"/>
        <w:ind w:left="0" w:firstLine="0"/>
        <w:rPr>
          <w:rFonts w:ascii="Arial" w:eastAsia="DengXian" w:hAnsi="Arial" w:cs="Arial"/>
          <w:szCs w:val="20"/>
          <w:lang w:eastAsia="ko-KR"/>
        </w:rPr>
      </w:pPr>
    </w:p>
    <w:p w14:paraId="56D0F598" w14:textId="431F6827" w:rsidR="00645C26" w:rsidRPr="005C5033" w:rsidRDefault="00645C26"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 xml:space="preserve">PRACH </w:t>
      </w:r>
      <w:r w:rsidR="00E734D8" w:rsidRPr="005C5033">
        <w:rPr>
          <w:rFonts w:ascii="Arial" w:eastAsia="DengXian" w:hAnsi="Arial" w:cs="Arial"/>
          <w:szCs w:val="20"/>
          <w:lang w:eastAsia="ko-KR"/>
        </w:rPr>
        <w:t xml:space="preserve">SCSs </w:t>
      </w:r>
      <w:r w:rsidRPr="005C5033">
        <w:rPr>
          <w:rFonts w:ascii="Arial" w:eastAsia="DengXian" w:hAnsi="Arial" w:cs="Arial"/>
          <w:szCs w:val="20"/>
          <w:lang w:eastAsia="ko-KR"/>
        </w:rPr>
        <w:t>480</w:t>
      </w:r>
      <w:r w:rsidR="00E734D8" w:rsidRPr="005C5033">
        <w:rPr>
          <w:rFonts w:ascii="Arial" w:eastAsia="DengXian" w:hAnsi="Arial" w:cs="Arial"/>
          <w:szCs w:val="20"/>
          <w:lang w:eastAsia="ko-KR"/>
        </w:rPr>
        <w:t>/</w:t>
      </w:r>
      <w:r w:rsidRPr="005C5033">
        <w:rPr>
          <w:rFonts w:ascii="Arial" w:eastAsia="DengXian" w:hAnsi="Arial" w:cs="Arial"/>
          <w:szCs w:val="20"/>
          <w:lang w:eastAsia="ko-KR"/>
        </w:rPr>
        <w:t>960</w:t>
      </w:r>
      <w:r w:rsidR="00EC74AE" w:rsidRPr="005C5033">
        <w:rPr>
          <w:rFonts w:ascii="Arial" w:eastAsia="DengXian" w:hAnsi="Arial" w:cs="Arial"/>
          <w:szCs w:val="20"/>
          <w:lang w:eastAsia="ko-KR"/>
        </w:rPr>
        <w:t> </w:t>
      </w:r>
      <w:r w:rsidRPr="005C5033">
        <w:rPr>
          <w:rFonts w:ascii="Arial" w:eastAsia="DengXian" w:hAnsi="Arial" w:cs="Arial"/>
          <w:szCs w:val="20"/>
          <w:lang w:eastAsia="ko-KR"/>
        </w:rPr>
        <w:t>kHz</w:t>
      </w:r>
      <w:r w:rsidR="00E734D8" w:rsidRPr="005C5033">
        <w:rPr>
          <w:rFonts w:ascii="Arial" w:eastAsia="DengXian" w:hAnsi="Arial" w:cs="Arial"/>
          <w:szCs w:val="20"/>
          <w:lang w:eastAsia="ko-KR"/>
        </w:rPr>
        <w:t xml:space="preserve"> lead to </w:t>
      </w:r>
      <w:r w:rsidRPr="005C5033">
        <w:rPr>
          <w:rFonts w:ascii="Arial" w:eastAsia="DengXian" w:hAnsi="Arial" w:cs="Arial"/>
          <w:szCs w:val="20"/>
          <w:lang w:eastAsia="ko-KR"/>
        </w:rPr>
        <w:t xml:space="preserve">PRACH occasions </w:t>
      </w:r>
      <w:r w:rsidR="00E734D8" w:rsidRPr="005C5033">
        <w:rPr>
          <w:rFonts w:ascii="Arial" w:eastAsia="DengXian" w:hAnsi="Arial" w:cs="Arial"/>
          <w:szCs w:val="20"/>
          <w:lang w:eastAsia="ko-KR"/>
        </w:rPr>
        <w:t>that are 4</w:t>
      </w:r>
      <w:r w:rsidRPr="005C5033">
        <w:rPr>
          <w:rFonts w:ascii="Arial" w:eastAsia="DengXian" w:hAnsi="Arial" w:cs="Arial"/>
          <w:szCs w:val="20"/>
          <w:lang w:eastAsia="ko-KR"/>
        </w:rPr>
        <w:t xml:space="preserve"> or </w:t>
      </w:r>
      <w:r w:rsidR="00E734D8" w:rsidRPr="005C5033">
        <w:rPr>
          <w:rFonts w:ascii="Arial" w:eastAsia="DengXian" w:hAnsi="Arial" w:cs="Arial"/>
          <w:szCs w:val="20"/>
          <w:lang w:eastAsia="ko-KR"/>
        </w:rPr>
        <w:t>8</w:t>
      </w:r>
      <w:r w:rsidRPr="005C5033">
        <w:rPr>
          <w:rFonts w:ascii="Arial" w:eastAsia="DengXian" w:hAnsi="Arial" w:cs="Arial"/>
          <w:szCs w:val="20"/>
          <w:lang w:eastAsia="ko-KR"/>
        </w:rPr>
        <w:t xml:space="preserve"> times shorter</w:t>
      </w:r>
      <w:r w:rsidR="00E734D8" w:rsidRPr="005C5033">
        <w:rPr>
          <w:rFonts w:ascii="Arial" w:eastAsia="DengXian" w:hAnsi="Arial" w:cs="Arial"/>
          <w:szCs w:val="20"/>
          <w:lang w:eastAsia="ko-KR"/>
        </w:rPr>
        <w:t xml:space="preserve"> than for 120</w:t>
      </w:r>
      <w:r w:rsidR="00EC74AE" w:rsidRPr="005C5033">
        <w:rPr>
          <w:rFonts w:ascii="Arial" w:eastAsia="DengXian" w:hAnsi="Arial" w:cs="Arial"/>
          <w:szCs w:val="20"/>
          <w:lang w:eastAsia="ko-KR"/>
        </w:rPr>
        <w:t> </w:t>
      </w:r>
      <w:r w:rsidR="00E734D8" w:rsidRPr="005C5033">
        <w:rPr>
          <w:rFonts w:ascii="Arial" w:eastAsia="DengXian" w:hAnsi="Arial" w:cs="Arial"/>
          <w:szCs w:val="20"/>
          <w:lang w:eastAsia="ko-KR"/>
        </w:rPr>
        <w:t>kHz</w:t>
      </w:r>
      <w:r w:rsidRPr="005C5033">
        <w:rPr>
          <w:rFonts w:ascii="Arial" w:eastAsia="DengXian" w:hAnsi="Arial" w:cs="Arial"/>
          <w:szCs w:val="20"/>
          <w:lang w:eastAsia="ko-KR"/>
        </w:rPr>
        <w:t xml:space="preserve">, in </w:t>
      </w:r>
      <w:r w:rsidR="00E734D8" w:rsidRPr="005C5033">
        <w:rPr>
          <w:rFonts w:ascii="Arial" w:eastAsia="DengXian" w:hAnsi="Arial" w:cs="Arial"/>
          <w:szCs w:val="20"/>
          <w:lang w:eastAsia="ko-KR"/>
        </w:rPr>
        <w:t>theory</w:t>
      </w:r>
      <w:r w:rsidRPr="005C5033">
        <w:rPr>
          <w:rFonts w:ascii="Arial" w:eastAsia="DengXian" w:hAnsi="Arial" w:cs="Arial"/>
          <w:szCs w:val="20"/>
          <w:lang w:eastAsia="ko-KR"/>
        </w:rPr>
        <w:t xml:space="preserve"> allowing </w:t>
      </w:r>
      <w:r w:rsidR="00E734D8" w:rsidRPr="005C5033">
        <w:rPr>
          <w:rFonts w:ascii="Arial" w:eastAsia="DengXian" w:hAnsi="Arial" w:cs="Arial"/>
          <w:szCs w:val="20"/>
          <w:lang w:eastAsia="ko-KR"/>
        </w:rPr>
        <w:t>PRACH occasions</w:t>
      </w:r>
      <w:r w:rsidRPr="005C5033">
        <w:rPr>
          <w:rFonts w:ascii="Arial" w:eastAsia="DengXian" w:hAnsi="Arial" w:cs="Arial"/>
          <w:szCs w:val="20"/>
          <w:lang w:eastAsia="ko-KR"/>
        </w:rPr>
        <w:t xml:space="preserve"> to be </w:t>
      </w:r>
      <w:r w:rsidR="00E734D8" w:rsidRPr="005C5033">
        <w:rPr>
          <w:rFonts w:ascii="Arial" w:eastAsia="DengXian" w:hAnsi="Arial" w:cs="Arial"/>
          <w:szCs w:val="20"/>
          <w:lang w:eastAsia="ko-KR"/>
        </w:rPr>
        <w:t>4</w:t>
      </w:r>
      <w:r w:rsidRPr="005C5033">
        <w:rPr>
          <w:rFonts w:ascii="Arial" w:eastAsia="DengXian" w:hAnsi="Arial" w:cs="Arial"/>
          <w:szCs w:val="20"/>
          <w:lang w:eastAsia="ko-KR"/>
        </w:rPr>
        <w:t xml:space="preserve"> or </w:t>
      </w:r>
      <w:r w:rsidR="00E734D8" w:rsidRPr="005C5033">
        <w:rPr>
          <w:rFonts w:ascii="Arial" w:eastAsia="DengXian" w:hAnsi="Arial" w:cs="Arial"/>
          <w:szCs w:val="20"/>
          <w:lang w:eastAsia="ko-KR"/>
        </w:rPr>
        <w:t>8</w:t>
      </w:r>
      <w:r w:rsidRPr="005C5033">
        <w:rPr>
          <w:rFonts w:ascii="Arial" w:eastAsia="DengXian" w:hAnsi="Arial" w:cs="Arial"/>
          <w:szCs w:val="20"/>
          <w:lang w:eastAsia="ko-KR"/>
        </w:rPr>
        <w:t xml:space="preserve"> times more densely spaced in time. </w:t>
      </w:r>
      <w:r w:rsidR="004763D4" w:rsidRPr="005C5033">
        <w:rPr>
          <w:rFonts w:ascii="Arial" w:eastAsia="DengXian" w:hAnsi="Arial" w:cs="Arial"/>
          <w:szCs w:val="20"/>
          <w:lang w:eastAsia="ko-KR"/>
        </w:rPr>
        <w:t>Such dense</w:t>
      </w:r>
      <w:r w:rsidR="006D342D" w:rsidRPr="005C5033">
        <w:rPr>
          <w:rFonts w:ascii="Arial" w:eastAsia="DengXian" w:hAnsi="Arial" w:cs="Arial"/>
          <w:szCs w:val="20"/>
          <w:lang w:eastAsia="ko-KR"/>
        </w:rPr>
        <w:t xml:space="preserve"> spacing would, h</w:t>
      </w:r>
      <w:r w:rsidRPr="005C5033">
        <w:rPr>
          <w:rFonts w:ascii="Arial" w:eastAsia="DengXian" w:hAnsi="Arial" w:cs="Arial"/>
          <w:szCs w:val="20"/>
          <w:lang w:eastAsia="ko-KR"/>
        </w:rPr>
        <w:t xml:space="preserve">owever, increase the PRACH processing load (operations/unit time) by the corresponding factor. In order to </w:t>
      </w:r>
      <w:r w:rsidRPr="005C5033">
        <w:rPr>
          <w:rFonts w:ascii="Arial" w:eastAsia="DengXian" w:hAnsi="Arial" w:cs="Arial"/>
          <w:szCs w:val="20"/>
          <w:lang w:eastAsia="ko-KR"/>
        </w:rPr>
        <w:lastRenderedPageBreak/>
        <w:t xml:space="preserve">avoid </w:t>
      </w:r>
      <w:r w:rsidR="00E734D8" w:rsidRPr="005C5033">
        <w:rPr>
          <w:rFonts w:ascii="Arial" w:eastAsia="DengXian" w:hAnsi="Arial" w:cs="Arial"/>
          <w:szCs w:val="20"/>
          <w:lang w:eastAsia="ko-KR"/>
        </w:rPr>
        <w:t>this</w:t>
      </w:r>
      <w:r w:rsidRPr="005C5033">
        <w:rPr>
          <w:rFonts w:ascii="Arial" w:eastAsia="DengXian" w:hAnsi="Arial" w:cs="Arial"/>
          <w:szCs w:val="20"/>
          <w:lang w:eastAsia="ko-KR"/>
        </w:rPr>
        <w:t xml:space="preserve">, it is important to </w:t>
      </w:r>
      <w:r w:rsidR="006D342D" w:rsidRPr="005C5033">
        <w:rPr>
          <w:rFonts w:ascii="Arial" w:eastAsia="DengXian" w:hAnsi="Arial" w:cs="Arial"/>
          <w:szCs w:val="20"/>
          <w:lang w:eastAsia="ko-KR"/>
        </w:rPr>
        <w:t>support</w:t>
      </w:r>
      <w:r w:rsidRPr="005C5033">
        <w:rPr>
          <w:rFonts w:ascii="Arial" w:eastAsia="DengXian" w:hAnsi="Arial" w:cs="Arial"/>
          <w:szCs w:val="20"/>
          <w:lang w:eastAsia="ko-KR"/>
        </w:rPr>
        <w:t xml:space="preserve"> PRACH configurations for 480/960</w:t>
      </w:r>
      <w:r w:rsidR="00EC74AE" w:rsidRPr="005C5033">
        <w:rPr>
          <w:rFonts w:ascii="Arial" w:eastAsia="DengXian" w:hAnsi="Arial" w:cs="Arial"/>
          <w:szCs w:val="20"/>
          <w:lang w:eastAsia="ko-KR"/>
        </w:rPr>
        <w:t> </w:t>
      </w:r>
      <w:r w:rsidRPr="005C5033">
        <w:rPr>
          <w:rFonts w:ascii="Arial" w:eastAsia="DengXian" w:hAnsi="Arial" w:cs="Arial"/>
          <w:szCs w:val="20"/>
          <w:lang w:eastAsia="ko-KR"/>
        </w:rPr>
        <w:t xml:space="preserve">kHz SCS </w:t>
      </w:r>
      <w:r w:rsidR="006D342D" w:rsidRPr="005C5033">
        <w:rPr>
          <w:rFonts w:ascii="Arial" w:eastAsia="DengXian" w:hAnsi="Arial" w:cs="Arial"/>
          <w:szCs w:val="20"/>
          <w:lang w:eastAsia="ko-KR"/>
        </w:rPr>
        <w:t xml:space="preserve">that </w:t>
      </w:r>
      <w:r w:rsidRPr="005C5033">
        <w:rPr>
          <w:rFonts w:ascii="Arial" w:eastAsia="DengXian" w:hAnsi="Arial" w:cs="Arial"/>
          <w:szCs w:val="20"/>
          <w:lang w:eastAsia="ko-KR"/>
        </w:rPr>
        <w:t>allow maintaining the same PRACH processing load as for 120</w:t>
      </w:r>
      <w:r w:rsidR="00EC74AE" w:rsidRPr="005C5033">
        <w:rPr>
          <w:rFonts w:ascii="Arial" w:eastAsia="DengXian" w:hAnsi="Arial" w:cs="Arial"/>
          <w:szCs w:val="20"/>
          <w:lang w:eastAsia="ko-KR"/>
        </w:rPr>
        <w:t> </w:t>
      </w:r>
      <w:r w:rsidRPr="005C5033">
        <w:rPr>
          <w:rFonts w:ascii="Arial" w:eastAsia="DengXian" w:hAnsi="Arial" w:cs="Arial"/>
          <w:szCs w:val="20"/>
          <w:lang w:eastAsia="ko-KR"/>
        </w:rPr>
        <w:t>kHz PRACH configurations.</w:t>
      </w:r>
    </w:p>
    <w:p w14:paraId="3594C51C" w14:textId="3B1F5ADD" w:rsidR="00645C26" w:rsidRPr="005C5033" w:rsidRDefault="00645C26" w:rsidP="00FD1284">
      <w:pPr>
        <w:pStyle w:val="B1"/>
        <w:spacing w:after="0"/>
        <w:ind w:left="0" w:firstLine="0"/>
        <w:rPr>
          <w:rFonts w:ascii="Arial" w:eastAsia="DengXian" w:hAnsi="Arial" w:cs="Arial"/>
          <w:szCs w:val="20"/>
          <w:lang w:eastAsia="ko-KR"/>
        </w:rPr>
      </w:pPr>
    </w:p>
    <w:p w14:paraId="2DD3B0F5" w14:textId="68BA8172" w:rsidR="00ED26B8" w:rsidRPr="005C5033" w:rsidRDefault="00ED26B8" w:rsidP="005C5033">
      <w:pPr>
        <w:pStyle w:val="Proposal"/>
        <w:rPr>
          <w:rFonts w:eastAsia="DengXian" w:cs="Arial"/>
          <w:szCs w:val="20"/>
          <w:lang w:eastAsia="ko-KR"/>
        </w:rPr>
      </w:pPr>
      <w:bookmarkStart w:id="34" w:name="_Ref61755811"/>
      <w:bookmarkStart w:id="35" w:name="_Toc61860320"/>
      <w:r w:rsidRPr="005C5033">
        <w:rPr>
          <w:rFonts w:eastAsia="DengXian" w:cs="Arial"/>
          <w:szCs w:val="20"/>
          <w:lang w:eastAsia="ko-KR"/>
        </w:rPr>
        <w:t>For 480/960 kHz PRACH</w:t>
      </w:r>
      <w:r w:rsidR="00FC5496" w:rsidRPr="005C5033">
        <w:rPr>
          <w:rFonts w:eastAsia="DengXian" w:cs="Arial"/>
          <w:szCs w:val="20"/>
          <w:lang w:eastAsia="ko-KR"/>
        </w:rPr>
        <w:t>, support PRACH configurations that allow maintaining the same PRACH processing load (operations/unit time) as for 120 kHz PRACH configurations.</w:t>
      </w:r>
      <w:bookmarkEnd w:id="34"/>
      <w:bookmarkEnd w:id="35"/>
    </w:p>
    <w:p w14:paraId="79C5176D" w14:textId="1920AD0E" w:rsidR="00522566" w:rsidRPr="005C5033" w:rsidRDefault="00522566" w:rsidP="00FD1284">
      <w:pPr>
        <w:pStyle w:val="B1"/>
        <w:spacing w:after="0"/>
        <w:ind w:left="0" w:firstLine="0"/>
        <w:rPr>
          <w:rFonts w:ascii="Arial" w:eastAsia="DengXian" w:hAnsi="Arial" w:cs="Arial"/>
          <w:szCs w:val="20"/>
          <w:lang w:eastAsia="ko-KR"/>
        </w:rPr>
      </w:pPr>
    </w:p>
    <w:p w14:paraId="007276F8" w14:textId="245B3128" w:rsidR="00FC650E" w:rsidRDefault="00645C26"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 xml:space="preserve">The design of the PRACH configuration tables for FR1/FR2 </w:t>
      </w:r>
      <w:r w:rsidR="006D342D" w:rsidRPr="005C5033">
        <w:rPr>
          <w:rFonts w:ascii="Arial" w:eastAsia="DengXian" w:hAnsi="Arial" w:cs="Arial"/>
          <w:szCs w:val="20"/>
          <w:lang w:eastAsia="ko-KR"/>
        </w:rPr>
        <w:t xml:space="preserve">in Rel-15 </w:t>
      </w:r>
      <w:r w:rsidRPr="005C5033">
        <w:rPr>
          <w:rFonts w:ascii="Arial" w:eastAsia="DengXian" w:hAnsi="Arial" w:cs="Arial"/>
          <w:szCs w:val="20"/>
          <w:lang w:eastAsia="ko-KR"/>
        </w:rPr>
        <w:t>was a tedious process</w:t>
      </w:r>
      <w:r w:rsidR="00AB6E63" w:rsidRPr="005C5033">
        <w:rPr>
          <w:rFonts w:ascii="Arial" w:eastAsia="DengXian" w:hAnsi="Arial" w:cs="Arial"/>
          <w:szCs w:val="20"/>
          <w:lang w:eastAsia="ko-KR"/>
        </w:rPr>
        <w:t xml:space="preserve">, and it </w:t>
      </w:r>
      <w:r w:rsidRPr="005C5033">
        <w:rPr>
          <w:rFonts w:ascii="Arial" w:eastAsia="DengXian" w:hAnsi="Arial" w:cs="Arial"/>
          <w:szCs w:val="20"/>
          <w:lang w:eastAsia="ko-KR"/>
        </w:rPr>
        <w:t xml:space="preserve">would be </w:t>
      </w:r>
      <w:r w:rsidR="00AB6E63" w:rsidRPr="005C5033">
        <w:rPr>
          <w:rFonts w:ascii="Arial" w:eastAsia="DengXian" w:hAnsi="Arial" w:cs="Arial"/>
          <w:szCs w:val="20"/>
          <w:lang w:eastAsia="ko-KR"/>
        </w:rPr>
        <w:t xml:space="preserve">preferable </w:t>
      </w:r>
      <w:r w:rsidRPr="005C5033">
        <w:rPr>
          <w:rFonts w:ascii="Arial" w:eastAsia="DengXian" w:hAnsi="Arial" w:cs="Arial"/>
          <w:szCs w:val="20"/>
          <w:lang w:eastAsia="ko-KR"/>
        </w:rPr>
        <w:t xml:space="preserve">to avoid </w:t>
      </w:r>
      <w:r w:rsidR="00AB6E63" w:rsidRPr="005C5033">
        <w:rPr>
          <w:rFonts w:ascii="Arial" w:eastAsia="DengXian" w:hAnsi="Arial" w:cs="Arial"/>
          <w:szCs w:val="20"/>
          <w:lang w:eastAsia="ko-KR"/>
        </w:rPr>
        <w:t>this when defining the band above 52.6 GHz</w:t>
      </w:r>
      <w:r w:rsidRPr="005C5033">
        <w:rPr>
          <w:rFonts w:ascii="Arial" w:eastAsia="DengXian" w:hAnsi="Arial" w:cs="Arial"/>
          <w:szCs w:val="20"/>
          <w:lang w:eastAsia="ko-KR"/>
        </w:rPr>
        <w:t>. It would therefore be beneficial to reuse the existing Rel-15/16 FR2 PRACH configuration table (</w:t>
      </w:r>
      <w:r w:rsidR="00F02921" w:rsidRPr="005C5033">
        <w:rPr>
          <w:rFonts w:ascii="Arial" w:eastAsia="DengXian" w:hAnsi="Arial" w:cs="Arial"/>
          <w:szCs w:val="20"/>
          <w:lang w:eastAsia="ko-KR"/>
        </w:rPr>
        <w:t>Table 6.3.3.2-4 in 3GPP TS 38.211</w:t>
      </w:r>
      <w:r w:rsidR="008A580C" w:rsidRPr="005C5033">
        <w:rPr>
          <w:rFonts w:ascii="Arial" w:eastAsia="DengXian" w:hAnsi="Arial" w:cs="Arial"/>
          <w:szCs w:val="20"/>
          <w:lang w:eastAsia="ko-KR"/>
        </w:rPr>
        <w:t xml:space="preserve"> </w:t>
      </w:r>
      <w:r w:rsidR="008A580C" w:rsidRPr="005C5033">
        <w:rPr>
          <w:rFonts w:ascii="Arial" w:eastAsia="DengXian" w:hAnsi="Arial" w:cs="Arial"/>
          <w:szCs w:val="20"/>
          <w:lang w:eastAsia="ko-KR"/>
        </w:rPr>
        <w:fldChar w:fldCharType="begin"/>
      </w:r>
      <w:r w:rsidR="008A580C" w:rsidRPr="005C5033">
        <w:rPr>
          <w:rFonts w:ascii="Arial" w:eastAsia="DengXian" w:hAnsi="Arial" w:cs="Arial"/>
          <w:szCs w:val="20"/>
          <w:lang w:eastAsia="ko-KR"/>
        </w:rPr>
        <w:instrText xml:space="preserve"> REF _Ref61010403 \r \h </w:instrText>
      </w:r>
      <w:r w:rsidR="008A580C" w:rsidRPr="005C5033">
        <w:rPr>
          <w:rFonts w:ascii="Arial" w:eastAsia="DengXian" w:hAnsi="Arial" w:cs="Arial"/>
          <w:szCs w:val="20"/>
          <w:lang w:eastAsia="ko-KR"/>
        </w:rPr>
      </w:r>
      <w:r w:rsidR="008A580C" w:rsidRPr="005C5033">
        <w:rPr>
          <w:rFonts w:ascii="Arial" w:eastAsia="DengXian" w:hAnsi="Arial" w:cs="Arial"/>
          <w:szCs w:val="20"/>
          <w:lang w:eastAsia="ko-KR"/>
        </w:rPr>
        <w:fldChar w:fldCharType="separate"/>
      </w:r>
      <w:r w:rsidR="008A580C" w:rsidRPr="005C5033">
        <w:rPr>
          <w:rFonts w:ascii="Arial" w:eastAsia="DengXian" w:hAnsi="Arial" w:cs="Arial"/>
          <w:szCs w:val="20"/>
          <w:lang w:eastAsia="ko-KR"/>
        </w:rPr>
        <w:t>[4]</w:t>
      </w:r>
      <w:r w:rsidR="008A580C" w:rsidRPr="005C5033">
        <w:rPr>
          <w:rFonts w:ascii="Arial" w:eastAsia="DengXian" w:hAnsi="Arial" w:cs="Arial"/>
          <w:szCs w:val="20"/>
          <w:lang w:eastAsia="ko-KR"/>
        </w:rPr>
        <w:fldChar w:fldCharType="end"/>
      </w:r>
      <w:r w:rsidRPr="005C5033">
        <w:rPr>
          <w:rFonts w:ascii="Arial" w:eastAsia="DengXian" w:hAnsi="Arial" w:cs="Arial"/>
          <w:szCs w:val="20"/>
          <w:lang w:eastAsia="ko-KR"/>
        </w:rPr>
        <w:t>) also for higher SCSs.</w:t>
      </w:r>
      <w:r w:rsidR="008E5DD3" w:rsidRPr="005C5033">
        <w:rPr>
          <w:rFonts w:ascii="Arial" w:eastAsia="DengXian" w:hAnsi="Arial" w:cs="Arial"/>
          <w:szCs w:val="20"/>
          <w:lang w:eastAsia="ko-KR"/>
        </w:rPr>
        <w:t xml:space="preserve"> </w:t>
      </w:r>
      <w:r w:rsidR="00FC650E" w:rsidRPr="005C5033">
        <w:rPr>
          <w:rFonts w:ascii="Arial" w:eastAsia="DengXian" w:hAnsi="Arial" w:cs="Arial"/>
          <w:szCs w:val="20"/>
          <w:lang w:eastAsia="ko-KR"/>
        </w:rPr>
        <w:t xml:space="preserve">In the following we discuss how this </w:t>
      </w:r>
      <w:r w:rsidR="00FC650E">
        <w:rPr>
          <w:rFonts w:ascii="Arial" w:eastAsia="DengXian" w:hAnsi="Arial" w:cs="Arial"/>
          <w:szCs w:val="20"/>
          <w:lang w:eastAsia="ko-KR"/>
        </w:rPr>
        <w:t>may be achieved when introducing SCS larger than 120 kHz for PRACH</w:t>
      </w:r>
      <w:r w:rsidRPr="005C5033">
        <w:rPr>
          <w:rFonts w:ascii="Arial" w:eastAsia="DengXian" w:hAnsi="Arial" w:cs="Arial"/>
          <w:szCs w:val="20"/>
          <w:lang w:eastAsia="ko-KR"/>
        </w:rPr>
        <w:t>.</w:t>
      </w:r>
    </w:p>
    <w:p w14:paraId="45E59A6A" w14:textId="77777777" w:rsidR="00FC650E" w:rsidRDefault="00FC650E" w:rsidP="00FD1284">
      <w:pPr>
        <w:pStyle w:val="B1"/>
        <w:spacing w:after="0"/>
        <w:ind w:left="0" w:firstLine="0"/>
        <w:rPr>
          <w:rFonts w:ascii="Arial" w:eastAsia="DengXian" w:hAnsi="Arial" w:cs="Arial"/>
          <w:szCs w:val="20"/>
          <w:lang w:eastAsia="ko-KR"/>
        </w:rPr>
      </w:pPr>
    </w:p>
    <w:p w14:paraId="078F8177" w14:textId="38B0B173" w:rsidR="00645C26" w:rsidRPr="005C5033" w:rsidRDefault="008E5DD3"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 xml:space="preserve">A small excerpt from </w:t>
      </w:r>
      <w:r w:rsidR="00FC650E">
        <w:rPr>
          <w:rFonts w:ascii="Arial" w:eastAsia="DengXian" w:hAnsi="Arial" w:cs="Arial"/>
          <w:szCs w:val="20"/>
          <w:lang w:eastAsia="ko-KR"/>
        </w:rPr>
        <w:t>the 38.211</w:t>
      </w:r>
      <w:r w:rsidRPr="005C5033">
        <w:rPr>
          <w:rFonts w:ascii="Arial" w:eastAsia="DengXian" w:hAnsi="Arial" w:cs="Arial"/>
          <w:szCs w:val="20"/>
          <w:lang w:eastAsia="ko-KR"/>
        </w:rPr>
        <w:t xml:space="preserve"> table is shown in </w:t>
      </w:r>
      <w:r w:rsidRPr="005C5033">
        <w:rPr>
          <w:rFonts w:ascii="Arial" w:eastAsia="DengXian" w:hAnsi="Arial" w:cs="Arial"/>
          <w:szCs w:val="20"/>
          <w:lang w:eastAsia="ko-KR"/>
        </w:rPr>
        <w:fldChar w:fldCharType="begin"/>
      </w:r>
      <w:r w:rsidRPr="00EC74AE">
        <w:rPr>
          <w:rFonts w:ascii="Arial" w:eastAsia="DengXian" w:hAnsi="Arial" w:cs="Arial"/>
          <w:color w:val="0070C0"/>
          <w:szCs w:val="20"/>
          <w:lang w:eastAsia="ko-KR"/>
        </w:rPr>
        <w:instrText xml:space="preserve"> REF _Ref61624213 \h </w:instrText>
      </w:r>
      <w:r>
        <w:rPr>
          <w:rFonts w:ascii="Arial" w:eastAsia="DengXian" w:hAnsi="Arial" w:cs="Arial"/>
          <w:color w:val="0070C0"/>
          <w:szCs w:val="20"/>
          <w:lang w:eastAsia="ko-KR"/>
        </w:rPr>
        <w:instrText xml:space="preserve"> \* MERGEFORMAT </w:instrText>
      </w:r>
      <w:r w:rsidRPr="005C5033">
        <w:rPr>
          <w:rFonts w:ascii="Arial" w:eastAsia="DengXian" w:hAnsi="Arial" w:cs="Arial"/>
          <w:szCs w:val="20"/>
          <w:lang w:eastAsia="ko-KR"/>
        </w:rPr>
      </w:r>
      <w:r w:rsidRPr="005C5033">
        <w:rPr>
          <w:rFonts w:ascii="Arial" w:eastAsia="DengXian" w:hAnsi="Arial" w:cs="Arial"/>
          <w:szCs w:val="20"/>
          <w:lang w:eastAsia="ko-KR"/>
        </w:rPr>
        <w:fldChar w:fldCharType="separate"/>
      </w:r>
      <w:r w:rsidRPr="00F931AA">
        <w:rPr>
          <w:rFonts w:ascii="Arial" w:hAnsi="Arial" w:cs="Arial"/>
        </w:rPr>
        <w:t xml:space="preserve">Table </w:t>
      </w:r>
      <w:r w:rsidRPr="00F931AA">
        <w:rPr>
          <w:rFonts w:ascii="Arial" w:hAnsi="Arial" w:cs="Arial"/>
          <w:noProof/>
        </w:rPr>
        <w:t>2</w:t>
      </w:r>
      <w:r w:rsidRPr="005C5033">
        <w:rPr>
          <w:rFonts w:ascii="Arial" w:eastAsia="DengXian" w:hAnsi="Arial" w:cs="Arial"/>
          <w:szCs w:val="20"/>
          <w:lang w:eastAsia="ko-KR"/>
        </w:rPr>
        <w:fldChar w:fldCharType="end"/>
      </w:r>
      <w:r w:rsidR="00FC650E">
        <w:rPr>
          <w:rFonts w:ascii="Arial" w:eastAsia="DengXian" w:hAnsi="Arial" w:cs="Arial"/>
          <w:szCs w:val="20"/>
          <w:lang w:eastAsia="ko-KR"/>
        </w:rPr>
        <w:t xml:space="preserve"> for the example of the A3 preamble format</w:t>
      </w:r>
      <w:r w:rsidRPr="005C5033">
        <w:rPr>
          <w:rFonts w:ascii="Arial" w:eastAsia="DengXian" w:hAnsi="Arial" w:cs="Arial"/>
          <w:szCs w:val="20"/>
          <w:lang w:eastAsia="ko-KR"/>
        </w:rPr>
        <w:t>.</w:t>
      </w:r>
    </w:p>
    <w:p w14:paraId="100448A6" w14:textId="26F22BB1" w:rsidR="008E5DD3" w:rsidRPr="005C5033" w:rsidRDefault="008E5DD3" w:rsidP="00FD1284">
      <w:pPr>
        <w:pStyle w:val="B1"/>
        <w:spacing w:after="0"/>
        <w:ind w:left="0" w:firstLine="0"/>
        <w:rPr>
          <w:rFonts w:ascii="Arial" w:eastAsia="DengXian" w:hAnsi="Arial" w:cs="Arial"/>
          <w:szCs w:val="20"/>
          <w:lang w:eastAsia="ko-KR"/>
        </w:rPr>
      </w:pPr>
    </w:p>
    <w:p w14:paraId="3382E24B" w14:textId="74021E62" w:rsidR="008E5DD3" w:rsidRPr="005C5033" w:rsidRDefault="008E5DD3" w:rsidP="005C5033">
      <w:pPr>
        <w:pStyle w:val="Caption"/>
      </w:pPr>
      <w:bookmarkStart w:id="36" w:name="_Ref61624213"/>
      <w:r w:rsidRPr="00F5624F">
        <w:t xml:space="preserve">Table </w:t>
      </w:r>
      <w:r w:rsidRPr="005C5033">
        <w:fldChar w:fldCharType="begin"/>
      </w:r>
      <w:r w:rsidRPr="005C5033">
        <w:instrText xml:space="preserve"> SEQ Table \* ARABIC </w:instrText>
      </w:r>
      <w:r w:rsidRPr="005C5033">
        <w:fldChar w:fldCharType="separate"/>
      </w:r>
      <w:r w:rsidRPr="005C5033">
        <w:t>2</w:t>
      </w:r>
      <w:r w:rsidRPr="005C5033">
        <w:fldChar w:fldCharType="end"/>
      </w:r>
      <w:bookmarkEnd w:id="36"/>
      <w:r w:rsidRPr="005C5033">
        <w:t xml:space="preserve"> </w:t>
      </w:r>
      <w:r w:rsidR="00C0555F">
        <w:t xml:space="preserve">Excerpt of </w:t>
      </w:r>
      <w:r w:rsidRPr="000B428E">
        <w:t xml:space="preserve">PRACH configuration table </w:t>
      </w:r>
      <w:r w:rsidR="00C0555F">
        <w:t>for FR2</w:t>
      </w:r>
      <w:r w:rsidRPr="000B428E">
        <w:t xml:space="preserve"> (from 3GPP TS 38.211</w:t>
      </w:r>
      <w:r w:rsidR="008A580C" w:rsidRPr="000B428E">
        <w:t xml:space="preserve"> </w:t>
      </w:r>
      <w:r w:rsidR="008A580C" w:rsidRPr="005C5033">
        <w:rPr>
          <w:rFonts w:eastAsia="DengXian" w:cs="Arial"/>
          <w:szCs w:val="20"/>
          <w:lang w:eastAsia="ko-KR"/>
        </w:rPr>
        <w:fldChar w:fldCharType="begin"/>
      </w:r>
      <w:r w:rsidR="008A580C" w:rsidRPr="005C5033">
        <w:rPr>
          <w:rFonts w:eastAsia="DengXian" w:cs="Arial"/>
          <w:szCs w:val="20"/>
          <w:lang w:eastAsia="ko-KR"/>
        </w:rPr>
        <w:instrText xml:space="preserve"> REF _Ref61010403 \r \h </w:instrText>
      </w:r>
      <w:r w:rsidR="008A580C" w:rsidRPr="005C5033">
        <w:rPr>
          <w:rFonts w:eastAsia="DengXian" w:cs="Arial"/>
          <w:szCs w:val="20"/>
          <w:lang w:eastAsia="ko-KR"/>
        </w:rPr>
      </w:r>
      <w:r w:rsidR="008A580C" w:rsidRPr="005C5033">
        <w:rPr>
          <w:rFonts w:eastAsia="DengXian" w:cs="Arial"/>
          <w:szCs w:val="20"/>
          <w:lang w:eastAsia="ko-KR"/>
        </w:rPr>
        <w:fldChar w:fldCharType="separate"/>
      </w:r>
      <w:r w:rsidR="008A580C" w:rsidRPr="005C5033">
        <w:rPr>
          <w:rFonts w:eastAsia="DengXian" w:cs="Arial"/>
          <w:szCs w:val="20"/>
          <w:lang w:eastAsia="ko-KR"/>
        </w:rPr>
        <w:t>[4]</w:t>
      </w:r>
      <w:r w:rsidR="008A580C" w:rsidRPr="005C5033">
        <w:rPr>
          <w:rFonts w:eastAsia="DengXian" w:cs="Arial"/>
          <w:szCs w:val="20"/>
          <w:lang w:eastAsia="ko-KR"/>
        </w:rPr>
        <w:fldChar w:fldCharType="end"/>
      </w:r>
      <w:r w:rsidR="008A580C" w:rsidRPr="00F5624F">
        <w:t xml:space="preserve">, Table </w:t>
      </w:r>
      <w:r w:rsidR="008A580C" w:rsidRPr="005C5033">
        <w:rPr>
          <w:rFonts w:eastAsia="DengXian" w:cs="Arial"/>
          <w:szCs w:val="20"/>
          <w:lang w:eastAsia="ko-KR"/>
        </w:rPr>
        <w:t>6.3.3.2-4</w:t>
      </w:r>
      <w:r w:rsidRPr="00F5624F">
        <w:t>)</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021C98" w:rsidRPr="00916F30" w14:paraId="6492938A" w14:textId="77777777" w:rsidTr="00696E26">
        <w:tc>
          <w:tcPr>
            <w:tcW w:w="988" w:type="dxa"/>
            <w:vMerge w:val="restart"/>
            <w:shd w:val="clear" w:color="auto" w:fill="auto"/>
          </w:tcPr>
          <w:p w14:paraId="62579B4A" w14:textId="77777777" w:rsidR="00021C98" w:rsidRPr="00916F30" w:rsidRDefault="00021C98" w:rsidP="00696E26">
            <w:pPr>
              <w:pStyle w:val="TAH"/>
              <w:rPr>
                <w:rFonts w:eastAsia="Batang"/>
              </w:rPr>
            </w:pPr>
            <w:r w:rsidRPr="00916F30">
              <w:rPr>
                <w:rFonts w:eastAsia="Batang"/>
              </w:rPr>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55ED4AE3" w14:textId="77777777" w:rsidR="00021C98" w:rsidRPr="00916F30" w:rsidRDefault="00021C98" w:rsidP="00696E26">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0B5ED19E" w14:textId="77777777" w:rsidR="00021C98" w:rsidRPr="00916F30" w:rsidRDefault="00021C98" w:rsidP="00696E26">
            <w:pPr>
              <w:pStyle w:val="TAH"/>
              <w:rPr>
                <w:rFonts w:eastAsia="Batang"/>
              </w:rPr>
            </w:pPr>
            <w:r w:rsidRPr="00F5624F">
              <w:rPr>
                <w:rFonts w:eastAsia="Batang"/>
                <w:noProof/>
                <w:lang w:eastAsia="en-GB"/>
              </w:rPr>
              <w:drawing>
                <wp:inline distT="0" distB="0" distL="0" distR="0" wp14:anchorId="2593DCC2" wp14:editId="3488B2ED">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4F9C4422" w14:textId="77777777" w:rsidR="00021C98" w:rsidRPr="00916F30" w:rsidRDefault="00021C98" w:rsidP="00696E26">
            <w:pPr>
              <w:pStyle w:val="TAH"/>
              <w:rPr>
                <w:rFonts w:eastAsia="Batang"/>
              </w:rPr>
            </w:pPr>
            <w:r w:rsidRPr="00916F30">
              <w:rPr>
                <w:rFonts w:eastAsia="Batang"/>
              </w:rPr>
              <w:t>Slot number</w:t>
            </w:r>
          </w:p>
        </w:tc>
        <w:tc>
          <w:tcPr>
            <w:tcW w:w="1020" w:type="dxa"/>
            <w:vMerge w:val="restart"/>
            <w:shd w:val="clear" w:color="auto" w:fill="auto"/>
          </w:tcPr>
          <w:p w14:paraId="38EEACDC" w14:textId="77777777" w:rsidR="00021C98" w:rsidRPr="00916F30" w:rsidRDefault="00021C98" w:rsidP="00696E26">
            <w:pPr>
              <w:pStyle w:val="TAH"/>
              <w:rPr>
                <w:rFonts w:eastAsia="Batang"/>
              </w:rPr>
            </w:pPr>
            <w:r w:rsidRPr="00916F30">
              <w:rPr>
                <w:rFonts w:eastAsia="Batang"/>
              </w:rPr>
              <w:t>Starting symbol</w:t>
            </w:r>
          </w:p>
        </w:tc>
        <w:tc>
          <w:tcPr>
            <w:tcW w:w="992" w:type="dxa"/>
            <w:vMerge w:val="restart"/>
          </w:tcPr>
          <w:p w14:paraId="376A4BF7" w14:textId="77777777" w:rsidR="00021C98" w:rsidRPr="00916F30" w:rsidRDefault="00021C98" w:rsidP="00696E26">
            <w:pPr>
              <w:pStyle w:val="TAH"/>
              <w:rPr>
                <w:rFonts w:eastAsia="Batang"/>
              </w:rPr>
            </w:pPr>
            <w:r w:rsidRPr="00916F30">
              <w:rPr>
                <w:rFonts w:eastAsia="Batang"/>
              </w:rPr>
              <w:t>Number of PRACH slots within a 60 kHz slot</w:t>
            </w:r>
          </w:p>
        </w:tc>
        <w:tc>
          <w:tcPr>
            <w:tcW w:w="1134" w:type="dxa"/>
            <w:vMerge w:val="restart"/>
          </w:tcPr>
          <w:p w14:paraId="03F1069F" w14:textId="77777777" w:rsidR="00021C98" w:rsidRPr="00916F30" w:rsidRDefault="00021C98" w:rsidP="00696E26">
            <w:pPr>
              <w:pStyle w:val="TAH"/>
              <w:rPr>
                <w:rFonts w:eastAsia="Batang"/>
              </w:rPr>
            </w:pPr>
            <w:r w:rsidRPr="00F5624F">
              <w:rPr>
                <w:rFonts w:eastAsia="Batang"/>
                <w:noProof/>
                <w:lang w:eastAsia="en-GB"/>
              </w:rPr>
              <w:drawing>
                <wp:inline distT="0" distB="0" distL="0" distR="0" wp14:anchorId="7B450DA1" wp14:editId="2328CA08">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5097A49A" w14:textId="77777777" w:rsidR="00021C98" w:rsidRPr="00916F30" w:rsidRDefault="00021C98" w:rsidP="00696E26">
            <w:pPr>
              <w:pStyle w:val="TAH"/>
              <w:rPr>
                <w:rFonts w:eastAsia="Batang"/>
              </w:rPr>
            </w:pPr>
            <w:r w:rsidRPr="00F5624F">
              <w:rPr>
                <w:rFonts w:eastAsia="Batang"/>
                <w:noProof/>
                <w:lang w:eastAsia="en-GB"/>
              </w:rPr>
              <w:drawing>
                <wp:inline distT="0" distB="0" distL="0" distR="0" wp14:anchorId="6EDB6826" wp14:editId="72377270">
                  <wp:extent cx="260985" cy="196215"/>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021C98" w:rsidRPr="00916F30" w14:paraId="36CDB7BC" w14:textId="77777777" w:rsidTr="00696E26">
        <w:tc>
          <w:tcPr>
            <w:tcW w:w="988" w:type="dxa"/>
            <w:vMerge/>
            <w:shd w:val="clear" w:color="auto" w:fill="auto"/>
            <w:vAlign w:val="center"/>
          </w:tcPr>
          <w:p w14:paraId="66330F0A" w14:textId="77777777" w:rsidR="00021C98" w:rsidRPr="00916F30" w:rsidRDefault="00021C98" w:rsidP="00696E26">
            <w:pPr>
              <w:keepNext/>
              <w:keepLines/>
              <w:spacing w:after="0"/>
              <w:jc w:val="center"/>
              <w:rPr>
                <w:rFonts w:eastAsia="Batang"/>
                <w:b/>
                <w:sz w:val="18"/>
              </w:rPr>
            </w:pPr>
          </w:p>
        </w:tc>
        <w:tc>
          <w:tcPr>
            <w:tcW w:w="1134" w:type="dxa"/>
            <w:vMerge/>
            <w:shd w:val="clear" w:color="auto" w:fill="auto"/>
            <w:vAlign w:val="center"/>
          </w:tcPr>
          <w:p w14:paraId="4FD4E0C7" w14:textId="77777777" w:rsidR="00021C98" w:rsidRPr="00916F30" w:rsidRDefault="00021C98" w:rsidP="00696E26">
            <w:pPr>
              <w:keepNext/>
              <w:keepLines/>
              <w:spacing w:after="0"/>
              <w:jc w:val="center"/>
              <w:rPr>
                <w:rFonts w:eastAsia="Batang"/>
                <w:b/>
                <w:sz w:val="18"/>
              </w:rPr>
            </w:pPr>
          </w:p>
        </w:tc>
        <w:tc>
          <w:tcPr>
            <w:tcW w:w="708" w:type="dxa"/>
            <w:tcBorders>
              <w:top w:val="nil"/>
            </w:tcBorders>
            <w:shd w:val="clear" w:color="auto" w:fill="auto"/>
            <w:vAlign w:val="center"/>
          </w:tcPr>
          <w:p w14:paraId="34C00C95" w14:textId="77777777" w:rsidR="00021C98" w:rsidRPr="00916F30" w:rsidRDefault="00021C98" w:rsidP="00696E26">
            <w:pPr>
              <w:keepNext/>
              <w:keepLines/>
              <w:spacing w:after="0"/>
              <w:jc w:val="center"/>
              <w:rPr>
                <w:rFonts w:eastAsia="Batang"/>
                <w:b/>
                <w:sz w:val="18"/>
              </w:rPr>
            </w:pPr>
            <w:r w:rsidRPr="00F5624F">
              <w:rPr>
                <w:rFonts w:eastAsia="Batang"/>
                <w:b/>
                <w:noProof/>
                <w:sz w:val="18"/>
                <w:lang w:eastAsia="en-GB"/>
              </w:rPr>
              <w:drawing>
                <wp:inline distT="0" distB="0" distL="0" distR="0" wp14:anchorId="542E1D9C" wp14:editId="0832CB4F">
                  <wp:extent cx="130810" cy="130810"/>
                  <wp:effectExtent l="0" t="0" r="2540"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46AF853F" w14:textId="77777777" w:rsidR="00021C98" w:rsidRPr="00916F30" w:rsidRDefault="00021C98" w:rsidP="00696E26">
            <w:pPr>
              <w:keepNext/>
              <w:keepLines/>
              <w:spacing w:after="0"/>
              <w:jc w:val="center"/>
              <w:rPr>
                <w:rFonts w:eastAsia="Batang"/>
                <w:b/>
                <w:sz w:val="18"/>
              </w:rPr>
            </w:pPr>
            <w:r w:rsidRPr="00F5624F">
              <w:rPr>
                <w:rFonts w:eastAsia="Batang"/>
                <w:b/>
                <w:noProof/>
                <w:sz w:val="18"/>
                <w:lang w:eastAsia="en-GB"/>
              </w:rPr>
              <w:drawing>
                <wp:inline distT="0" distB="0" distL="0" distR="0" wp14:anchorId="1FAE3CD0" wp14:editId="7A5FCA5B">
                  <wp:extent cx="130810" cy="130810"/>
                  <wp:effectExtent l="0" t="0" r="254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5697A8E9" w14:textId="77777777" w:rsidR="00021C98" w:rsidRPr="00916F30" w:rsidRDefault="00021C98" w:rsidP="00696E26">
            <w:pPr>
              <w:keepNext/>
              <w:keepLines/>
              <w:spacing w:after="0"/>
              <w:jc w:val="center"/>
              <w:rPr>
                <w:rFonts w:eastAsia="Batang"/>
                <w:b/>
                <w:sz w:val="18"/>
              </w:rPr>
            </w:pPr>
          </w:p>
        </w:tc>
        <w:tc>
          <w:tcPr>
            <w:tcW w:w="1020" w:type="dxa"/>
            <w:vMerge/>
            <w:shd w:val="clear" w:color="auto" w:fill="auto"/>
          </w:tcPr>
          <w:p w14:paraId="1337E97C" w14:textId="77777777" w:rsidR="00021C98" w:rsidRPr="00916F30" w:rsidRDefault="00021C98" w:rsidP="00696E26">
            <w:pPr>
              <w:keepNext/>
              <w:keepLines/>
              <w:spacing w:after="0"/>
              <w:jc w:val="center"/>
              <w:rPr>
                <w:rFonts w:eastAsia="Batang"/>
                <w:b/>
                <w:sz w:val="18"/>
              </w:rPr>
            </w:pPr>
          </w:p>
        </w:tc>
        <w:tc>
          <w:tcPr>
            <w:tcW w:w="992" w:type="dxa"/>
            <w:vMerge/>
          </w:tcPr>
          <w:p w14:paraId="6304F0AB" w14:textId="77777777" w:rsidR="00021C98" w:rsidRPr="00916F30" w:rsidRDefault="00021C98" w:rsidP="00696E26">
            <w:pPr>
              <w:keepNext/>
              <w:keepLines/>
              <w:spacing w:after="0"/>
              <w:jc w:val="center"/>
              <w:rPr>
                <w:rFonts w:eastAsia="Batang"/>
                <w:b/>
                <w:sz w:val="18"/>
              </w:rPr>
            </w:pPr>
          </w:p>
        </w:tc>
        <w:tc>
          <w:tcPr>
            <w:tcW w:w="1134" w:type="dxa"/>
            <w:vMerge/>
          </w:tcPr>
          <w:p w14:paraId="4F91B9EB" w14:textId="77777777" w:rsidR="00021C98" w:rsidRPr="00916F30" w:rsidRDefault="00021C98" w:rsidP="00696E26">
            <w:pPr>
              <w:keepNext/>
              <w:keepLines/>
              <w:spacing w:after="0"/>
              <w:jc w:val="center"/>
              <w:rPr>
                <w:rFonts w:eastAsia="Batang"/>
                <w:b/>
                <w:sz w:val="18"/>
              </w:rPr>
            </w:pPr>
          </w:p>
        </w:tc>
        <w:tc>
          <w:tcPr>
            <w:tcW w:w="981" w:type="dxa"/>
            <w:vMerge/>
          </w:tcPr>
          <w:p w14:paraId="2496587F" w14:textId="77777777" w:rsidR="00021C98" w:rsidRPr="00916F30" w:rsidRDefault="00021C98" w:rsidP="00696E26">
            <w:pPr>
              <w:keepNext/>
              <w:keepLines/>
              <w:spacing w:after="0"/>
              <w:jc w:val="center"/>
              <w:rPr>
                <w:rFonts w:eastAsia="Batang"/>
                <w:b/>
                <w:sz w:val="18"/>
              </w:rPr>
            </w:pPr>
          </w:p>
        </w:tc>
      </w:tr>
      <w:tr w:rsidR="00021C98" w:rsidRPr="00916F30" w14:paraId="5FD4DCB9" w14:textId="77777777" w:rsidTr="00696E26">
        <w:tc>
          <w:tcPr>
            <w:tcW w:w="988" w:type="dxa"/>
            <w:shd w:val="clear" w:color="auto" w:fill="auto"/>
            <w:vAlign w:val="center"/>
          </w:tcPr>
          <w:p w14:paraId="0D0E7899" w14:textId="77777777" w:rsidR="00021C98" w:rsidRPr="00916F30" w:rsidRDefault="00021C98" w:rsidP="00696E26">
            <w:pPr>
              <w:pStyle w:val="TAC"/>
              <w:rPr>
                <w:rFonts w:eastAsia="Batang"/>
              </w:rPr>
            </w:pPr>
            <w:r w:rsidRPr="00916F30">
              <w:rPr>
                <w:rFonts w:eastAsia="Batang"/>
              </w:rPr>
              <w:t>68</w:t>
            </w:r>
          </w:p>
        </w:tc>
        <w:tc>
          <w:tcPr>
            <w:tcW w:w="1134" w:type="dxa"/>
            <w:shd w:val="clear" w:color="auto" w:fill="auto"/>
          </w:tcPr>
          <w:p w14:paraId="7F353C20" w14:textId="77777777" w:rsidR="00021C98" w:rsidRPr="00916F30" w:rsidRDefault="00021C98" w:rsidP="00696E26">
            <w:pPr>
              <w:pStyle w:val="TAC"/>
              <w:rPr>
                <w:rFonts w:eastAsia="Batang"/>
              </w:rPr>
            </w:pPr>
            <w:r w:rsidRPr="00916F30">
              <w:rPr>
                <w:rFonts w:eastAsia="Batang"/>
              </w:rPr>
              <w:t>A3</w:t>
            </w:r>
          </w:p>
        </w:tc>
        <w:tc>
          <w:tcPr>
            <w:tcW w:w="708" w:type="dxa"/>
            <w:shd w:val="clear" w:color="auto" w:fill="auto"/>
            <w:vAlign w:val="center"/>
          </w:tcPr>
          <w:p w14:paraId="3850A0D2" w14:textId="77777777" w:rsidR="00021C98" w:rsidRPr="00916F30" w:rsidRDefault="00021C98" w:rsidP="00696E26">
            <w:pPr>
              <w:pStyle w:val="TAC"/>
              <w:rPr>
                <w:rFonts w:eastAsia="Batang"/>
              </w:rPr>
            </w:pPr>
            <w:r w:rsidRPr="00916F30">
              <w:rPr>
                <w:rFonts w:eastAsia="Batang"/>
              </w:rPr>
              <w:t>2</w:t>
            </w:r>
          </w:p>
        </w:tc>
        <w:tc>
          <w:tcPr>
            <w:tcW w:w="851" w:type="dxa"/>
            <w:shd w:val="clear" w:color="auto" w:fill="auto"/>
            <w:vAlign w:val="center"/>
          </w:tcPr>
          <w:p w14:paraId="0836623F" w14:textId="77777777" w:rsidR="00021C98" w:rsidRPr="00916F30" w:rsidRDefault="00021C98" w:rsidP="00696E26">
            <w:pPr>
              <w:pStyle w:val="TAC"/>
              <w:rPr>
                <w:rFonts w:eastAsia="Batang"/>
              </w:rPr>
            </w:pPr>
            <w:r w:rsidRPr="00916F30">
              <w:rPr>
                <w:rFonts w:eastAsia="Batang"/>
              </w:rPr>
              <w:t>1</w:t>
            </w:r>
          </w:p>
        </w:tc>
        <w:tc>
          <w:tcPr>
            <w:tcW w:w="2524" w:type="dxa"/>
            <w:shd w:val="clear" w:color="auto" w:fill="auto"/>
            <w:vAlign w:val="center"/>
          </w:tcPr>
          <w:p w14:paraId="2963C914" w14:textId="77777777" w:rsidR="00021C98" w:rsidRPr="00916F30" w:rsidRDefault="00021C98" w:rsidP="00696E26">
            <w:pPr>
              <w:pStyle w:val="TAC"/>
              <w:rPr>
                <w:rFonts w:eastAsia="Batang"/>
              </w:rPr>
            </w:pPr>
            <w:r w:rsidRPr="00916F30">
              <w:rPr>
                <w:rFonts w:eastAsia="Batang"/>
              </w:rPr>
              <w:t>4,9,14,19,24,29,34,39</w:t>
            </w:r>
          </w:p>
        </w:tc>
        <w:tc>
          <w:tcPr>
            <w:tcW w:w="1020" w:type="dxa"/>
            <w:shd w:val="clear" w:color="auto" w:fill="auto"/>
            <w:vAlign w:val="center"/>
          </w:tcPr>
          <w:p w14:paraId="7425D4F6" w14:textId="77777777" w:rsidR="00021C98" w:rsidRPr="00916F30" w:rsidRDefault="00021C98" w:rsidP="00696E26">
            <w:pPr>
              <w:pStyle w:val="TAC"/>
              <w:rPr>
                <w:rFonts w:eastAsia="Batang"/>
              </w:rPr>
            </w:pPr>
            <w:r w:rsidRPr="00916F30">
              <w:rPr>
                <w:rFonts w:eastAsia="Batang"/>
              </w:rPr>
              <w:t>0</w:t>
            </w:r>
          </w:p>
        </w:tc>
        <w:tc>
          <w:tcPr>
            <w:tcW w:w="992" w:type="dxa"/>
            <w:vAlign w:val="center"/>
          </w:tcPr>
          <w:p w14:paraId="6A67D342" w14:textId="77777777" w:rsidR="00021C98" w:rsidRPr="00916F30" w:rsidRDefault="00021C98" w:rsidP="00696E26">
            <w:pPr>
              <w:pStyle w:val="TAC"/>
              <w:rPr>
                <w:rFonts w:eastAsia="Batang"/>
              </w:rPr>
            </w:pPr>
            <w:r w:rsidRPr="00916F30">
              <w:rPr>
                <w:rFonts w:eastAsia="Batang"/>
              </w:rPr>
              <w:t>2</w:t>
            </w:r>
          </w:p>
        </w:tc>
        <w:tc>
          <w:tcPr>
            <w:tcW w:w="1134" w:type="dxa"/>
          </w:tcPr>
          <w:p w14:paraId="2C20686A" w14:textId="77777777" w:rsidR="00021C98" w:rsidRPr="00916F30" w:rsidRDefault="00021C98" w:rsidP="00696E26">
            <w:pPr>
              <w:pStyle w:val="TAC"/>
              <w:rPr>
                <w:rFonts w:eastAsia="Batang"/>
              </w:rPr>
            </w:pPr>
            <w:r w:rsidRPr="00916F30">
              <w:rPr>
                <w:rFonts w:eastAsia="Batang"/>
              </w:rPr>
              <w:t>2</w:t>
            </w:r>
          </w:p>
        </w:tc>
        <w:tc>
          <w:tcPr>
            <w:tcW w:w="981" w:type="dxa"/>
          </w:tcPr>
          <w:p w14:paraId="72527163" w14:textId="77777777" w:rsidR="00021C98" w:rsidRPr="00916F30" w:rsidRDefault="00021C98" w:rsidP="00696E26">
            <w:pPr>
              <w:pStyle w:val="TAC"/>
              <w:rPr>
                <w:rFonts w:eastAsia="Batang"/>
              </w:rPr>
            </w:pPr>
            <w:r w:rsidRPr="00916F30">
              <w:rPr>
                <w:rFonts w:eastAsia="Batang"/>
              </w:rPr>
              <w:t>6</w:t>
            </w:r>
          </w:p>
        </w:tc>
      </w:tr>
      <w:tr w:rsidR="00021C98" w:rsidRPr="00916F30" w14:paraId="55BA2E6B" w14:textId="77777777" w:rsidTr="00696E26">
        <w:tc>
          <w:tcPr>
            <w:tcW w:w="988" w:type="dxa"/>
            <w:shd w:val="clear" w:color="auto" w:fill="auto"/>
            <w:vAlign w:val="center"/>
          </w:tcPr>
          <w:p w14:paraId="0424857E" w14:textId="77777777" w:rsidR="00021C98" w:rsidRPr="00916F30" w:rsidRDefault="00021C98" w:rsidP="00696E26">
            <w:pPr>
              <w:pStyle w:val="TAC"/>
              <w:rPr>
                <w:rFonts w:eastAsia="Batang"/>
              </w:rPr>
            </w:pPr>
            <w:r w:rsidRPr="00916F30">
              <w:rPr>
                <w:rFonts w:eastAsia="Batang"/>
              </w:rPr>
              <w:t>69</w:t>
            </w:r>
          </w:p>
        </w:tc>
        <w:tc>
          <w:tcPr>
            <w:tcW w:w="1134" w:type="dxa"/>
            <w:shd w:val="clear" w:color="auto" w:fill="auto"/>
          </w:tcPr>
          <w:p w14:paraId="0821F5EA" w14:textId="77777777" w:rsidR="00021C98" w:rsidRPr="00916F30" w:rsidRDefault="00021C98" w:rsidP="00696E26">
            <w:pPr>
              <w:pStyle w:val="TAC"/>
              <w:rPr>
                <w:rFonts w:eastAsia="Batang"/>
              </w:rPr>
            </w:pPr>
            <w:r w:rsidRPr="00916F30">
              <w:rPr>
                <w:rFonts w:eastAsia="Batang"/>
              </w:rPr>
              <w:t>A3</w:t>
            </w:r>
          </w:p>
        </w:tc>
        <w:tc>
          <w:tcPr>
            <w:tcW w:w="708" w:type="dxa"/>
            <w:shd w:val="clear" w:color="auto" w:fill="auto"/>
            <w:vAlign w:val="center"/>
          </w:tcPr>
          <w:p w14:paraId="19E3BBE5" w14:textId="77777777" w:rsidR="00021C98" w:rsidRPr="00916F30" w:rsidRDefault="00021C98" w:rsidP="00696E26">
            <w:pPr>
              <w:pStyle w:val="TAC"/>
              <w:rPr>
                <w:rFonts w:eastAsia="Batang"/>
              </w:rPr>
            </w:pPr>
            <w:r w:rsidRPr="00916F30">
              <w:rPr>
                <w:rFonts w:eastAsia="Batang"/>
              </w:rPr>
              <w:t>2</w:t>
            </w:r>
          </w:p>
        </w:tc>
        <w:tc>
          <w:tcPr>
            <w:tcW w:w="851" w:type="dxa"/>
            <w:shd w:val="clear" w:color="auto" w:fill="auto"/>
            <w:vAlign w:val="center"/>
          </w:tcPr>
          <w:p w14:paraId="50AC0846" w14:textId="77777777" w:rsidR="00021C98" w:rsidRPr="00916F30" w:rsidRDefault="00021C98" w:rsidP="00696E26">
            <w:pPr>
              <w:pStyle w:val="TAC"/>
              <w:rPr>
                <w:rFonts w:eastAsia="Batang"/>
              </w:rPr>
            </w:pPr>
            <w:r w:rsidRPr="00916F30">
              <w:rPr>
                <w:rFonts w:eastAsia="Batang"/>
              </w:rPr>
              <w:t>1</w:t>
            </w:r>
          </w:p>
        </w:tc>
        <w:tc>
          <w:tcPr>
            <w:tcW w:w="2524" w:type="dxa"/>
            <w:shd w:val="clear" w:color="auto" w:fill="auto"/>
            <w:vAlign w:val="center"/>
          </w:tcPr>
          <w:p w14:paraId="72C6353A" w14:textId="77777777" w:rsidR="00021C98" w:rsidRPr="00916F30" w:rsidRDefault="00021C98" w:rsidP="00696E26">
            <w:pPr>
              <w:pStyle w:val="TAC"/>
              <w:rPr>
                <w:rFonts w:eastAsia="Batang"/>
              </w:rPr>
            </w:pPr>
            <w:r w:rsidRPr="00916F30">
              <w:rPr>
                <w:rFonts w:eastAsia="Batang"/>
              </w:rPr>
              <w:t>3,7,11,15,19,23,27,31,35,39</w:t>
            </w:r>
          </w:p>
        </w:tc>
        <w:tc>
          <w:tcPr>
            <w:tcW w:w="1020" w:type="dxa"/>
            <w:shd w:val="clear" w:color="auto" w:fill="auto"/>
            <w:vAlign w:val="center"/>
          </w:tcPr>
          <w:p w14:paraId="38F4DD12" w14:textId="77777777" w:rsidR="00021C98" w:rsidRPr="00916F30" w:rsidRDefault="00021C98" w:rsidP="00696E26">
            <w:pPr>
              <w:pStyle w:val="TAC"/>
              <w:rPr>
                <w:rFonts w:eastAsia="Batang"/>
              </w:rPr>
            </w:pPr>
            <w:r w:rsidRPr="00916F30">
              <w:rPr>
                <w:rFonts w:eastAsia="Batang"/>
              </w:rPr>
              <w:t>0</w:t>
            </w:r>
          </w:p>
        </w:tc>
        <w:tc>
          <w:tcPr>
            <w:tcW w:w="992" w:type="dxa"/>
            <w:vAlign w:val="center"/>
          </w:tcPr>
          <w:p w14:paraId="24D1BDB4" w14:textId="77777777" w:rsidR="00021C98" w:rsidRPr="00916F30" w:rsidRDefault="00021C98" w:rsidP="00696E26">
            <w:pPr>
              <w:pStyle w:val="TAC"/>
              <w:rPr>
                <w:rFonts w:eastAsia="Batang"/>
              </w:rPr>
            </w:pPr>
            <w:r w:rsidRPr="00916F30">
              <w:rPr>
                <w:rFonts w:eastAsia="Batang"/>
              </w:rPr>
              <w:t>1</w:t>
            </w:r>
          </w:p>
        </w:tc>
        <w:tc>
          <w:tcPr>
            <w:tcW w:w="1134" w:type="dxa"/>
          </w:tcPr>
          <w:p w14:paraId="1D6764C8" w14:textId="77777777" w:rsidR="00021C98" w:rsidRPr="00916F30" w:rsidRDefault="00021C98" w:rsidP="00696E26">
            <w:pPr>
              <w:pStyle w:val="TAC"/>
              <w:rPr>
                <w:rFonts w:eastAsia="Batang"/>
              </w:rPr>
            </w:pPr>
            <w:r w:rsidRPr="00916F30">
              <w:rPr>
                <w:rFonts w:eastAsia="Batang"/>
              </w:rPr>
              <w:t>2</w:t>
            </w:r>
          </w:p>
        </w:tc>
        <w:tc>
          <w:tcPr>
            <w:tcW w:w="981" w:type="dxa"/>
          </w:tcPr>
          <w:p w14:paraId="2291FD96" w14:textId="77777777" w:rsidR="00021C98" w:rsidRPr="00916F30" w:rsidRDefault="00021C98" w:rsidP="00696E26">
            <w:pPr>
              <w:pStyle w:val="TAC"/>
              <w:rPr>
                <w:rFonts w:eastAsia="Batang"/>
              </w:rPr>
            </w:pPr>
            <w:r w:rsidRPr="00916F30">
              <w:rPr>
                <w:rFonts w:eastAsia="Batang"/>
              </w:rPr>
              <w:t>6</w:t>
            </w:r>
          </w:p>
        </w:tc>
      </w:tr>
      <w:tr w:rsidR="00021C98" w:rsidRPr="00916F30" w14:paraId="096491E3" w14:textId="77777777" w:rsidTr="00696E26">
        <w:tc>
          <w:tcPr>
            <w:tcW w:w="988" w:type="dxa"/>
            <w:shd w:val="clear" w:color="auto" w:fill="auto"/>
            <w:vAlign w:val="center"/>
          </w:tcPr>
          <w:p w14:paraId="6293B149" w14:textId="77777777" w:rsidR="00021C98" w:rsidRPr="00916F30" w:rsidRDefault="00021C98" w:rsidP="00696E26">
            <w:pPr>
              <w:pStyle w:val="TAC"/>
              <w:rPr>
                <w:rFonts w:eastAsia="Batang"/>
              </w:rPr>
            </w:pPr>
            <w:r w:rsidRPr="00916F30">
              <w:rPr>
                <w:rFonts w:eastAsia="Batang"/>
              </w:rPr>
              <w:t>70</w:t>
            </w:r>
          </w:p>
        </w:tc>
        <w:tc>
          <w:tcPr>
            <w:tcW w:w="1134" w:type="dxa"/>
            <w:shd w:val="clear" w:color="auto" w:fill="auto"/>
          </w:tcPr>
          <w:p w14:paraId="5705255E" w14:textId="77777777" w:rsidR="00021C98" w:rsidRPr="00916F30" w:rsidRDefault="00021C98" w:rsidP="00696E26">
            <w:pPr>
              <w:pStyle w:val="TAC"/>
              <w:rPr>
                <w:rFonts w:eastAsia="Batang"/>
              </w:rPr>
            </w:pPr>
            <w:r w:rsidRPr="00916F30">
              <w:rPr>
                <w:rFonts w:eastAsia="Batang"/>
              </w:rPr>
              <w:t>A3</w:t>
            </w:r>
          </w:p>
        </w:tc>
        <w:tc>
          <w:tcPr>
            <w:tcW w:w="708" w:type="dxa"/>
            <w:shd w:val="clear" w:color="auto" w:fill="auto"/>
            <w:vAlign w:val="center"/>
          </w:tcPr>
          <w:p w14:paraId="7B777DE8" w14:textId="77777777" w:rsidR="00021C98" w:rsidRPr="00916F30" w:rsidRDefault="00021C98" w:rsidP="00696E26">
            <w:pPr>
              <w:pStyle w:val="TAC"/>
              <w:rPr>
                <w:rFonts w:eastAsia="Batang"/>
              </w:rPr>
            </w:pPr>
            <w:r w:rsidRPr="00916F30">
              <w:rPr>
                <w:rFonts w:eastAsia="Batang"/>
              </w:rPr>
              <w:t>1</w:t>
            </w:r>
          </w:p>
        </w:tc>
        <w:tc>
          <w:tcPr>
            <w:tcW w:w="851" w:type="dxa"/>
            <w:shd w:val="clear" w:color="auto" w:fill="auto"/>
            <w:vAlign w:val="center"/>
          </w:tcPr>
          <w:p w14:paraId="322629AA" w14:textId="77777777" w:rsidR="00021C98" w:rsidRPr="00916F30" w:rsidRDefault="00021C98" w:rsidP="00696E26">
            <w:pPr>
              <w:pStyle w:val="TAC"/>
              <w:rPr>
                <w:rFonts w:eastAsia="Batang"/>
              </w:rPr>
            </w:pPr>
            <w:r w:rsidRPr="00916F30">
              <w:rPr>
                <w:rFonts w:eastAsia="Batang"/>
              </w:rPr>
              <w:t>0</w:t>
            </w:r>
          </w:p>
        </w:tc>
        <w:tc>
          <w:tcPr>
            <w:tcW w:w="2524" w:type="dxa"/>
            <w:shd w:val="clear" w:color="auto" w:fill="auto"/>
            <w:vAlign w:val="center"/>
          </w:tcPr>
          <w:p w14:paraId="7D192650" w14:textId="77777777" w:rsidR="00021C98" w:rsidRPr="00916F30" w:rsidRDefault="00021C98" w:rsidP="00696E26">
            <w:pPr>
              <w:pStyle w:val="TAC"/>
              <w:rPr>
                <w:rFonts w:eastAsia="Batang"/>
              </w:rPr>
            </w:pPr>
            <w:r w:rsidRPr="00916F30">
              <w:rPr>
                <w:rFonts w:eastAsia="Batang"/>
              </w:rPr>
              <w:t>19,39</w:t>
            </w:r>
          </w:p>
        </w:tc>
        <w:tc>
          <w:tcPr>
            <w:tcW w:w="1020" w:type="dxa"/>
            <w:shd w:val="clear" w:color="auto" w:fill="auto"/>
            <w:vAlign w:val="center"/>
          </w:tcPr>
          <w:p w14:paraId="48DFB6CF" w14:textId="77777777" w:rsidR="00021C98" w:rsidRPr="00916F30" w:rsidRDefault="00021C98" w:rsidP="00696E26">
            <w:pPr>
              <w:pStyle w:val="TAC"/>
              <w:rPr>
                <w:rFonts w:eastAsia="Batang"/>
              </w:rPr>
            </w:pPr>
            <w:r w:rsidRPr="00916F30">
              <w:rPr>
                <w:rFonts w:eastAsia="Batang"/>
              </w:rPr>
              <w:t>7</w:t>
            </w:r>
          </w:p>
        </w:tc>
        <w:tc>
          <w:tcPr>
            <w:tcW w:w="992" w:type="dxa"/>
            <w:vAlign w:val="center"/>
          </w:tcPr>
          <w:p w14:paraId="497504D5" w14:textId="77777777" w:rsidR="00021C98" w:rsidRPr="00916F30" w:rsidRDefault="00021C98" w:rsidP="00696E26">
            <w:pPr>
              <w:pStyle w:val="TAC"/>
              <w:rPr>
                <w:rFonts w:eastAsia="Batang"/>
              </w:rPr>
            </w:pPr>
            <w:r w:rsidRPr="00916F30">
              <w:rPr>
                <w:rFonts w:eastAsia="Batang"/>
              </w:rPr>
              <w:t>1</w:t>
            </w:r>
          </w:p>
        </w:tc>
        <w:tc>
          <w:tcPr>
            <w:tcW w:w="1134" w:type="dxa"/>
            <w:vAlign w:val="center"/>
          </w:tcPr>
          <w:p w14:paraId="29472CDB" w14:textId="77777777" w:rsidR="00021C98" w:rsidRPr="00916F30" w:rsidRDefault="00021C98" w:rsidP="00696E26">
            <w:pPr>
              <w:pStyle w:val="TAC"/>
              <w:rPr>
                <w:rFonts w:eastAsia="Batang"/>
              </w:rPr>
            </w:pPr>
            <w:r w:rsidRPr="00916F30">
              <w:rPr>
                <w:rFonts w:eastAsia="Batang"/>
              </w:rPr>
              <w:t>1</w:t>
            </w:r>
          </w:p>
        </w:tc>
        <w:tc>
          <w:tcPr>
            <w:tcW w:w="981" w:type="dxa"/>
          </w:tcPr>
          <w:p w14:paraId="2A90A05B" w14:textId="77777777" w:rsidR="00021C98" w:rsidRPr="00916F30" w:rsidRDefault="00021C98" w:rsidP="00696E26">
            <w:pPr>
              <w:pStyle w:val="TAC"/>
              <w:rPr>
                <w:rFonts w:eastAsia="Batang"/>
              </w:rPr>
            </w:pPr>
            <w:r w:rsidRPr="00916F30">
              <w:rPr>
                <w:rFonts w:eastAsia="Batang"/>
              </w:rPr>
              <w:t>6</w:t>
            </w:r>
          </w:p>
        </w:tc>
      </w:tr>
      <w:tr w:rsidR="00021C98" w:rsidRPr="00916F30" w14:paraId="4C4F9F02" w14:textId="77777777" w:rsidTr="00696E26">
        <w:tc>
          <w:tcPr>
            <w:tcW w:w="988" w:type="dxa"/>
            <w:shd w:val="clear" w:color="auto" w:fill="auto"/>
            <w:vAlign w:val="center"/>
          </w:tcPr>
          <w:p w14:paraId="723D683C" w14:textId="77777777" w:rsidR="00021C98" w:rsidRPr="00916F30" w:rsidRDefault="00021C98" w:rsidP="00696E26">
            <w:pPr>
              <w:pStyle w:val="TAC"/>
              <w:rPr>
                <w:rFonts w:eastAsia="Batang"/>
              </w:rPr>
            </w:pPr>
            <w:r w:rsidRPr="00916F30">
              <w:rPr>
                <w:rFonts w:eastAsia="Batang"/>
              </w:rPr>
              <w:t>71</w:t>
            </w:r>
          </w:p>
        </w:tc>
        <w:tc>
          <w:tcPr>
            <w:tcW w:w="1134" w:type="dxa"/>
            <w:shd w:val="clear" w:color="auto" w:fill="auto"/>
          </w:tcPr>
          <w:p w14:paraId="38D4BD88" w14:textId="77777777" w:rsidR="00021C98" w:rsidRPr="00916F30" w:rsidRDefault="00021C98" w:rsidP="00696E26">
            <w:pPr>
              <w:pStyle w:val="TAC"/>
              <w:rPr>
                <w:rFonts w:eastAsia="Batang"/>
              </w:rPr>
            </w:pPr>
            <w:r w:rsidRPr="00916F30">
              <w:rPr>
                <w:rFonts w:eastAsia="Batang"/>
              </w:rPr>
              <w:t>A3</w:t>
            </w:r>
          </w:p>
        </w:tc>
        <w:tc>
          <w:tcPr>
            <w:tcW w:w="708" w:type="dxa"/>
            <w:shd w:val="clear" w:color="auto" w:fill="auto"/>
            <w:vAlign w:val="center"/>
          </w:tcPr>
          <w:p w14:paraId="5477EE6F" w14:textId="77777777" w:rsidR="00021C98" w:rsidRPr="00916F30" w:rsidRDefault="00021C98" w:rsidP="00696E26">
            <w:pPr>
              <w:pStyle w:val="TAC"/>
              <w:rPr>
                <w:rFonts w:eastAsia="Batang"/>
              </w:rPr>
            </w:pPr>
            <w:r w:rsidRPr="00916F30">
              <w:rPr>
                <w:rFonts w:eastAsia="Batang"/>
              </w:rPr>
              <w:t>1</w:t>
            </w:r>
          </w:p>
        </w:tc>
        <w:tc>
          <w:tcPr>
            <w:tcW w:w="851" w:type="dxa"/>
            <w:shd w:val="clear" w:color="auto" w:fill="auto"/>
            <w:vAlign w:val="center"/>
          </w:tcPr>
          <w:p w14:paraId="180304F9" w14:textId="77777777" w:rsidR="00021C98" w:rsidRPr="00916F30" w:rsidRDefault="00021C98" w:rsidP="00696E26">
            <w:pPr>
              <w:pStyle w:val="TAC"/>
              <w:rPr>
                <w:rFonts w:eastAsia="Batang"/>
              </w:rPr>
            </w:pPr>
            <w:r w:rsidRPr="00916F30">
              <w:rPr>
                <w:rFonts w:eastAsia="Batang"/>
              </w:rPr>
              <w:t>0</w:t>
            </w:r>
          </w:p>
        </w:tc>
        <w:tc>
          <w:tcPr>
            <w:tcW w:w="2524" w:type="dxa"/>
            <w:shd w:val="clear" w:color="auto" w:fill="auto"/>
            <w:vAlign w:val="center"/>
          </w:tcPr>
          <w:p w14:paraId="46E28678" w14:textId="77777777" w:rsidR="00021C98" w:rsidRPr="00916F30" w:rsidRDefault="00021C98" w:rsidP="00696E26">
            <w:pPr>
              <w:pStyle w:val="TAC"/>
              <w:rPr>
                <w:rFonts w:eastAsia="Batang"/>
              </w:rPr>
            </w:pPr>
            <w:r w:rsidRPr="00916F30">
              <w:rPr>
                <w:rFonts w:eastAsia="Batang"/>
              </w:rPr>
              <w:t>3,5,7</w:t>
            </w:r>
          </w:p>
        </w:tc>
        <w:tc>
          <w:tcPr>
            <w:tcW w:w="1020" w:type="dxa"/>
            <w:shd w:val="clear" w:color="auto" w:fill="auto"/>
            <w:vAlign w:val="center"/>
          </w:tcPr>
          <w:p w14:paraId="7B4D8467" w14:textId="77777777" w:rsidR="00021C98" w:rsidRPr="00916F30" w:rsidRDefault="00021C98" w:rsidP="00696E26">
            <w:pPr>
              <w:pStyle w:val="TAC"/>
              <w:rPr>
                <w:rFonts w:eastAsia="Batang"/>
              </w:rPr>
            </w:pPr>
            <w:r w:rsidRPr="00916F30">
              <w:rPr>
                <w:rFonts w:eastAsia="Batang"/>
              </w:rPr>
              <w:t>0</w:t>
            </w:r>
          </w:p>
        </w:tc>
        <w:tc>
          <w:tcPr>
            <w:tcW w:w="992" w:type="dxa"/>
          </w:tcPr>
          <w:p w14:paraId="67DD6950" w14:textId="77777777" w:rsidR="00021C98" w:rsidRPr="00916F30" w:rsidRDefault="00021C98" w:rsidP="00696E26">
            <w:pPr>
              <w:pStyle w:val="TAC"/>
              <w:rPr>
                <w:rFonts w:eastAsia="Batang"/>
              </w:rPr>
            </w:pPr>
            <w:r w:rsidRPr="00916F30">
              <w:rPr>
                <w:rFonts w:eastAsia="Batang"/>
              </w:rPr>
              <w:t>1</w:t>
            </w:r>
          </w:p>
        </w:tc>
        <w:tc>
          <w:tcPr>
            <w:tcW w:w="1134" w:type="dxa"/>
            <w:vAlign w:val="center"/>
          </w:tcPr>
          <w:p w14:paraId="341E12AE" w14:textId="77777777" w:rsidR="00021C98" w:rsidRPr="00916F30" w:rsidRDefault="00021C98" w:rsidP="00696E26">
            <w:pPr>
              <w:pStyle w:val="TAC"/>
              <w:rPr>
                <w:rFonts w:eastAsia="Batang"/>
              </w:rPr>
            </w:pPr>
            <w:r w:rsidRPr="00916F30">
              <w:rPr>
                <w:rFonts w:eastAsia="Batang"/>
              </w:rPr>
              <w:t>2</w:t>
            </w:r>
          </w:p>
        </w:tc>
        <w:tc>
          <w:tcPr>
            <w:tcW w:w="981" w:type="dxa"/>
          </w:tcPr>
          <w:p w14:paraId="00BF7747" w14:textId="77777777" w:rsidR="00021C98" w:rsidRPr="00916F30" w:rsidRDefault="00021C98" w:rsidP="00696E26">
            <w:pPr>
              <w:pStyle w:val="TAC"/>
              <w:rPr>
                <w:rFonts w:eastAsia="Batang"/>
              </w:rPr>
            </w:pPr>
            <w:r w:rsidRPr="00916F30">
              <w:rPr>
                <w:rFonts w:eastAsia="Batang"/>
              </w:rPr>
              <w:t>6</w:t>
            </w:r>
          </w:p>
        </w:tc>
      </w:tr>
    </w:tbl>
    <w:p w14:paraId="600C5B6E" w14:textId="551C737C" w:rsidR="00645C26" w:rsidRPr="005C5033" w:rsidRDefault="00645C26" w:rsidP="00FD1284">
      <w:pPr>
        <w:pStyle w:val="B1"/>
        <w:spacing w:after="0"/>
        <w:ind w:left="0" w:firstLine="0"/>
        <w:rPr>
          <w:rFonts w:ascii="Arial" w:eastAsia="DengXian" w:hAnsi="Arial" w:cs="Arial"/>
          <w:szCs w:val="20"/>
          <w:lang w:eastAsia="ko-KR"/>
        </w:rPr>
      </w:pPr>
    </w:p>
    <w:p w14:paraId="2F1FA01A" w14:textId="77777777" w:rsidR="00021C98" w:rsidRPr="005C5033" w:rsidRDefault="00021C98" w:rsidP="00FD1284">
      <w:pPr>
        <w:pStyle w:val="B1"/>
        <w:spacing w:after="0"/>
        <w:ind w:left="0" w:firstLine="0"/>
        <w:rPr>
          <w:rFonts w:ascii="Arial" w:eastAsia="DengXian" w:hAnsi="Arial" w:cs="Arial"/>
          <w:szCs w:val="20"/>
          <w:lang w:eastAsia="ko-KR"/>
        </w:rPr>
      </w:pPr>
    </w:p>
    <w:p w14:paraId="3F8744CC" w14:textId="6C3A9302" w:rsidR="00645C26" w:rsidRPr="005C5033" w:rsidRDefault="00645C26"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The design of the FR2 PRACH configuration table is intimately linked to the ratio between the duration</w:t>
      </w:r>
      <w:r w:rsidR="00E82B2C" w:rsidRPr="005C5033">
        <w:rPr>
          <w:rFonts w:ascii="Arial" w:eastAsia="DengXian" w:hAnsi="Arial" w:cs="Arial"/>
          <w:szCs w:val="20"/>
          <w:lang w:eastAsia="ko-KR"/>
        </w:rPr>
        <w:t>s</w:t>
      </w:r>
      <w:r w:rsidRPr="005C5033">
        <w:rPr>
          <w:rFonts w:ascii="Arial" w:eastAsia="DengXian" w:hAnsi="Arial" w:cs="Arial"/>
          <w:szCs w:val="20"/>
          <w:lang w:eastAsia="ko-KR"/>
        </w:rPr>
        <w:t xml:space="preserve"> of a system frame and a </w:t>
      </w:r>
      <w:r w:rsidR="00FC650E" w:rsidRPr="005C5033">
        <w:rPr>
          <w:rFonts w:ascii="Arial" w:eastAsia="DengXian" w:hAnsi="Arial" w:cs="Arial"/>
          <w:i/>
          <w:iCs/>
          <w:szCs w:val="20"/>
          <w:lang w:eastAsia="ko-KR"/>
        </w:rPr>
        <w:t>reference</w:t>
      </w:r>
      <w:r w:rsidR="00FC650E">
        <w:rPr>
          <w:rFonts w:ascii="Arial" w:eastAsia="DengXian" w:hAnsi="Arial" w:cs="Arial"/>
          <w:szCs w:val="20"/>
          <w:lang w:eastAsia="ko-KR"/>
        </w:rPr>
        <w:t xml:space="preserve"> </w:t>
      </w:r>
      <w:r w:rsidRPr="005C5033">
        <w:rPr>
          <w:rFonts w:ascii="Arial" w:eastAsia="DengXian" w:hAnsi="Arial" w:cs="Arial"/>
          <w:szCs w:val="20"/>
          <w:lang w:eastAsia="ko-KR"/>
        </w:rPr>
        <w:t>60</w:t>
      </w:r>
      <w:r w:rsidR="00EC74AE" w:rsidRPr="005C5033">
        <w:rPr>
          <w:rFonts w:ascii="Arial" w:eastAsia="DengXian" w:hAnsi="Arial" w:cs="Arial"/>
          <w:szCs w:val="20"/>
          <w:lang w:eastAsia="ko-KR"/>
        </w:rPr>
        <w:t> </w:t>
      </w:r>
      <w:r w:rsidRPr="005C5033">
        <w:rPr>
          <w:rFonts w:ascii="Arial" w:eastAsia="DengXian" w:hAnsi="Arial" w:cs="Arial"/>
          <w:szCs w:val="20"/>
          <w:lang w:eastAsia="ko-KR"/>
        </w:rPr>
        <w:t xml:space="preserve">kHz slot. Specifically, the “Slot number” </w:t>
      </w:r>
      <w:r w:rsidR="001122E8" w:rsidRPr="005C5033">
        <w:rPr>
          <w:rFonts w:ascii="Arial" w:eastAsia="DengXian" w:hAnsi="Arial" w:cs="Arial"/>
          <w:szCs w:val="20"/>
          <w:lang w:eastAsia="ko-KR"/>
        </w:rPr>
        <w:t xml:space="preserve">column </w:t>
      </w:r>
      <w:r w:rsidRPr="005C5033">
        <w:rPr>
          <w:rFonts w:ascii="Arial" w:eastAsia="DengXian" w:hAnsi="Arial" w:cs="Arial"/>
          <w:szCs w:val="20"/>
          <w:lang w:eastAsia="ko-KR"/>
        </w:rPr>
        <w:t xml:space="preserve">refers to 60 kHz reference slots, </w:t>
      </w:r>
      <w:r w:rsidR="00E82B2C" w:rsidRPr="005C5033">
        <w:rPr>
          <w:rFonts w:ascii="Arial" w:eastAsia="DengXian" w:hAnsi="Arial" w:cs="Arial"/>
          <w:szCs w:val="20"/>
          <w:lang w:eastAsia="ko-KR"/>
        </w:rPr>
        <w:t>and since</w:t>
      </w:r>
      <w:r w:rsidRPr="005C5033">
        <w:rPr>
          <w:rFonts w:ascii="Arial" w:eastAsia="DengXian" w:hAnsi="Arial" w:cs="Arial"/>
          <w:szCs w:val="20"/>
          <w:lang w:eastAsia="ko-KR"/>
        </w:rPr>
        <w:t xml:space="preserve"> there are </w:t>
      </w:r>
      <w:r w:rsidR="00E82B2C" w:rsidRPr="005C5033">
        <w:rPr>
          <w:rFonts w:ascii="Arial" w:eastAsia="DengXian" w:hAnsi="Arial" w:cs="Arial"/>
          <w:szCs w:val="20"/>
          <w:lang w:eastAsia="ko-KR"/>
        </w:rPr>
        <w:t xml:space="preserve">forty 60 kHz slots </w:t>
      </w:r>
      <w:r w:rsidRPr="005C5033">
        <w:rPr>
          <w:rFonts w:ascii="Arial" w:eastAsia="DengXian" w:hAnsi="Arial" w:cs="Arial"/>
          <w:szCs w:val="20"/>
          <w:lang w:eastAsia="ko-KR"/>
        </w:rPr>
        <w:t>in a system frame, the listed slot numbers rang</w:t>
      </w:r>
      <w:r w:rsidR="00E82B2C" w:rsidRPr="005C5033">
        <w:rPr>
          <w:rFonts w:ascii="Arial" w:eastAsia="DengXian" w:hAnsi="Arial" w:cs="Arial"/>
          <w:szCs w:val="20"/>
          <w:lang w:eastAsia="ko-KR"/>
        </w:rPr>
        <w:t>e</w:t>
      </w:r>
      <w:r w:rsidRPr="005C5033">
        <w:rPr>
          <w:rFonts w:ascii="Arial" w:eastAsia="DengXian" w:hAnsi="Arial" w:cs="Arial"/>
          <w:szCs w:val="20"/>
          <w:lang w:eastAsia="ko-KR"/>
        </w:rPr>
        <w:t xml:space="preserve"> up to at most 39. </w:t>
      </w:r>
      <w:r w:rsidR="0006465C">
        <w:rPr>
          <w:rFonts w:ascii="Arial" w:eastAsia="DengXian" w:hAnsi="Arial" w:cs="Arial"/>
          <w:szCs w:val="20"/>
          <w:lang w:eastAsia="ko-KR"/>
        </w:rPr>
        <w:t>If</w:t>
      </w:r>
      <w:r>
        <w:rPr>
          <w:rFonts w:ascii="Arial" w:eastAsia="DengXian" w:hAnsi="Arial" w:cs="Arial"/>
          <w:szCs w:val="20"/>
          <w:lang w:eastAsia="ko-KR"/>
        </w:rPr>
        <w:t xml:space="preserve"> a</w:t>
      </w:r>
      <w:r w:rsidRPr="005C5033">
        <w:rPr>
          <w:rFonts w:ascii="Arial" w:eastAsia="DengXian" w:hAnsi="Arial" w:cs="Arial"/>
          <w:szCs w:val="20"/>
          <w:lang w:eastAsia="ko-KR"/>
        </w:rPr>
        <w:t xml:space="preserve"> larger SCS </w:t>
      </w:r>
      <w:r w:rsidR="0006465C">
        <w:rPr>
          <w:rFonts w:ascii="Arial" w:eastAsia="DengXian" w:hAnsi="Arial" w:cs="Arial"/>
          <w:szCs w:val="20"/>
          <w:lang w:eastAsia="ko-KR"/>
        </w:rPr>
        <w:t xml:space="preserve">was defined </w:t>
      </w:r>
      <w:r w:rsidRPr="005C5033">
        <w:rPr>
          <w:rFonts w:ascii="Arial" w:eastAsia="DengXian" w:hAnsi="Arial" w:cs="Arial"/>
          <w:szCs w:val="20"/>
          <w:lang w:eastAsia="ko-KR"/>
        </w:rPr>
        <w:t xml:space="preserve">for the reference slots, these slot ranges would no longer be appropriate, </w:t>
      </w:r>
      <w:r w:rsidR="00100ED4" w:rsidRPr="005C5033">
        <w:rPr>
          <w:rFonts w:ascii="Arial" w:eastAsia="DengXian" w:hAnsi="Arial" w:cs="Arial"/>
          <w:szCs w:val="20"/>
          <w:lang w:eastAsia="ko-KR"/>
        </w:rPr>
        <w:t>because</w:t>
      </w:r>
      <w:r w:rsidRPr="005C5033">
        <w:rPr>
          <w:rFonts w:ascii="Arial" w:eastAsia="DengXian" w:hAnsi="Arial" w:cs="Arial"/>
          <w:szCs w:val="20"/>
          <w:lang w:eastAsia="ko-KR"/>
        </w:rPr>
        <w:t xml:space="preserve"> they would not span a system frame</w:t>
      </w:r>
      <w:r>
        <w:rPr>
          <w:rFonts w:ascii="Arial" w:eastAsia="DengXian" w:hAnsi="Arial" w:cs="Arial"/>
          <w:szCs w:val="20"/>
          <w:lang w:eastAsia="ko-KR"/>
        </w:rPr>
        <w:t xml:space="preserve">, </w:t>
      </w:r>
      <w:r w:rsidR="00FC650E">
        <w:rPr>
          <w:rFonts w:ascii="Arial" w:eastAsia="DengXian" w:hAnsi="Arial" w:cs="Arial"/>
          <w:szCs w:val="20"/>
          <w:lang w:eastAsia="ko-KR"/>
        </w:rPr>
        <w:t xml:space="preserve">thus </w:t>
      </w:r>
      <w:r w:rsidR="00CA4EC7">
        <w:rPr>
          <w:rFonts w:ascii="Arial" w:eastAsia="DengXian" w:hAnsi="Arial" w:cs="Arial"/>
          <w:szCs w:val="20"/>
          <w:lang w:eastAsia="ko-KR"/>
        </w:rPr>
        <w:t>requiring changes to the table to avoid incurring undesirable additional latency</w:t>
      </w:r>
      <w:r w:rsidRPr="005C5033">
        <w:rPr>
          <w:rFonts w:ascii="Arial" w:eastAsia="DengXian" w:hAnsi="Arial" w:cs="Arial"/>
          <w:szCs w:val="20"/>
          <w:lang w:eastAsia="ko-KR"/>
        </w:rPr>
        <w:t xml:space="preserve">. Therefore, in order to directly reuse the FR2 PRACH configuration table, the reference slot SCS should remain </w:t>
      </w:r>
      <w:r w:rsidR="0006465C">
        <w:rPr>
          <w:rFonts w:ascii="Arial" w:eastAsia="DengXian" w:hAnsi="Arial" w:cs="Arial"/>
          <w:szCs w:val="20"/>
          <w:lang w:eastAsia="ko-KR"/>
        </w:rPr>
        <w:t xml:space="preserve">as </w:t>
      </w:r>
      <w:r w:rsidRPr="005C5033">
        <w:rPr>
          <w:rFonts w:ascii="Arial" w:eastAsia="DengXian" w:hAnsi="Arial" w:cs="Arial"/>
          <w:szCs w:val="20"/>
          <w:lang w:eastAsia="ko-KR"/>
        </w:rPr>
        <w:t>60</w:t>
      </w:r>
      <w:r w:rsidR="00EC74AE" w:rsidRPr="005C5033">
        <w:rPr>
          <w:rFonts w:ascii="Arial" w:eastAsia="DengXian" w:hAnsi="Arial" w:cs="Arial"/>
          <w:szCs w:val="20"/>
          <w:lang w:eastAsia="ko-KR"/>
        </w:rPr>
        <w:t> </w:t>
      </w:r>
      <w:r w:rsidRPr="005C5033">
        <w:rPr>
          <w:rFonts w:ascii="Arial" w:eastAsia="DengXian" w:hAnsi="Arial" w:cs="Arial"/>
          <w:szCs w:val="20"/>
          <w:lang w:eastAsia="ko-KR"/>
        </w:rPr>
        <w:t xml:space="preserve">kHz </w:t>
      </w:r>
      <w:r w:rsidR="0006465C">
        <w:rPr>
          <w:rFonts w:ascii="Arial" w:eastAsia="DengXian" w:hAnsi="Arial" w:cs="Arial"/>
          <w:szCs w:val="20"/>
          <w:lang w:eastAsia="ko-KR"/>
        </w:rPr>
        <w:t>for supporting</w:t>
      </w:r>
      <w:r w:rsidRPr="005C5033">
        <w:rPr>
          <w:rFonts w:ascii="Arial" w:eastAsia="DengXian" w:hAnsi="Arial" w:cs="Arial"/>
          <w:szCs w:val="20"/>
          <w:lang w:eastAsia="ko-KR"/>
        </w:rPr>
        <w:t xml:space="preserve"> </w:t>
      </w:r>
      <w:r w:rsidR="0006465C">
        <w:rPr>
          <w:rFonts w:ascii="Arial" w:eastAsia="DengXian" w:hAnsi="Arial" w:cs="Arial"/>
          <w:szCs w:val="20"/>
          <w:lang w:eastAsia="ko-KR"/>
        </w:rPr>
        <w:t>PRACH with 480/960</w:t>
      </w:r>
      <w:r w:rsidR="00F24AC5">
        <w:rPr>
          <w:rFonts w:ascii="Arial" w:eastAsia="DengXian" w:hAnsi="Arial" w:cs="Arial"/>
          <w:szCs w:val="20"/>
          <w:lang w:eastAsia="ko-KR"/>
        </w:rPr>
        <w:t> </w:t>
      </w:r>
      <w:r w:rsidR="0006465C">
        <w:rPr>
          <w:rFonts w:ascii="Arial" w:eastAsia="DengXian" w:hAnsi="Arial" w:cs="Arial"/>
          <w:szCs w:val="20"/>
          <w:lang w:eastAsia="ko-KR"/>
        </w:rPr>
        <w:t>kHz SCS</w:t>
      </w:r>
      <w:r w:rsidRPr="005C5033">
        <w:rPr>
          <w:rFonts w:ascii="Arial" w:eastAsia="DengXian" w:hAnsi="Arial" w:cs="Arial"/>
          <w:szCs w:val="20"/>
          <w:lang w:eastAsia="ko-KR"/>
        </w:rPr>
        <w:t>.</w:t>
      </w:r>
      <w:r w:rsidR="00FA487B">
        <w:rPr>
          <w:rFonts w:ascii="Arial" w:eastAsia="DengXian" w:hAnsi="Arial" w:cs="Arial"/>
          <w:szCs w:val="20"/>
          <w:lang w:eastAsia="ko-KR"/>
        </w:rPr>
        <w:t xml:space="preserve"> In the following discussion we demonstrate how this may be done while maintaining configuration flexibility</w:t>
      </w:r>
      <w:r w:rsidR="00B04B4C">
        <w:rPr>
          <w:rFonts w:ascii="Arial" w:eastAsia="DengXian" w:hAnsi="Arial" w:cs="Arial"/>
          <w:szCs w:val="20"/>
          <w:lang w:eastAsia="ko-KR"/>
        </w:rPr>
        <w:t xml:space="preserve"> and avoiding increases in latency.</w:t>
      </w:r>
    </w:p>
    <w:p w14:paraId="2D27FB05" w14:textId="71D5C73B" w:rsidR="00645C26" w:rsidRPr="005C5033" w:rsidRDefault="00645C26" w:rsidP="00FD1284">
      <w:pPr>
        <w:pStyle w:val="B1"/>
        <w:spacing w:after="0"/>
        <w:ind w:left="0" w:firstLine="0"/>
        <w:rPr>
          <w:rFonts w:ascii="Arial" w:eastAsia="DengXian" w:hAnsi="Arial" w:cs="Arial"/>
          <w:szCs w:val="20"/>
          <w:lang w:eastAsia="ko-KR"/>
        </w:rPr>
      </w:pPr>
    </w:p>
    <w:p w14:paraId="17880283" w14:textId="28DAC131" w:rsidR="00645C26" w:rsidRPr="005C5033" w:rsidRDefault="00EC74AE"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In FR2, t</w:t>
      </w:r>
      <w:r w:rsidR="00645C26" w:rsidRPr="005C5033">
        <w:rPr>
          <w:rFonts w:ascii="Arial" w:eastAsia="DengXian" w:hAnsi="Arial" w:cs="Arial"/>
          <w:szCs w:val="20"/>
          <w:lang w:eastAsia="ko-KR"/>
        </w:rPr>
        <w:t>he number of PRACH slots (</w:t>
      </w:r>
      <w:r w:rsidRPr="005C5033">
        <w:rPr>
          <w:rFonts w:ascii="Arial" w:eastAsia="DengXian" w:hAnsi="Arial" w:cs="Arial"/>
          <w:szCs w:val="20"/>
          <w:lang w:eastAsia="ko-KR"/>
        </w:rPr>
        <w:t>60/</w:t>
      </w:r>
      <w:r w:rsidR="00645C26" w:rsidRPr="005C5033">
        <w:rPr>
          <w:rFonts w:ascii="Arial" w:eastAsia="DengXian" w:hAnsi="Arial" w:cs="Arial"/>
          <w:szCs w:val="20"/>
          <w:lang w:eastAsia="ko-KR"/>
        </w:rPr>
        <w:t>120</w:t>
      </w:r>
      <w:r w:rsidRPr="005C5033">
        <w:rPr>
          <w:rFonts w:ascii="Arial" w:eastAsia="DengXian" w:hAnsi="Arial" w:cs="Arial"/>
          <w:szCs w:val="20"/>
          <w:lang w:eastAsia="ko-KR"/>
        </w:rPr>
        <w:t> </w:t>
      </w:r>
      <w:r w:rsidR="00645C26" w:rsidRPr="005C5033">
        <w:rPr>
          <w:rFonts w:ascii="Arial" w:eastAsia="DengXian" w:hAnsi="Arial" w:cs="Arial"/>
          <w:szCs w:val="20"/>
          <w:lang w:eastAsia="ko-KR"/>
        </w:rPr>
        <w:t>kHz</w:t>
      </w:r>
      <w:r w:rsidRPr="005C5033">
        <w:rPr>
          <w:rFonts w:ascii="Arial" w:eastAsia="DengXian" w:hAnsi="Arial" w:cs="Arial"/>
          <w:szCs w:val="20"/>
          <w:lang w:eastAsia="ko-KR"/>
        </w:rPr>
        <w:t xml:space="preserve"> SCS</w:t>
      </w:r>
      <w:r w:rsidR="00645C26" w:rsidRPr="005C5033">
        <w:rPr>
          <w:rFonts w:ascii="Arial" w:eastAsia="DengXian" w:hAnsi="Arial" w:cs="Arial"/>
          <w:szCs w:val="20"/>
          <w:lang w:eastAsia="ko-KR"/>
        </w:rPr>
        <w:t>) within a 60</w:t>
      </w:r>
      <w:r w:rsidRPr="005C5033">
        <w:rPr>
          <w:rFonts w:ascii="Arial" w:eastAsia="DengXian" w:hAnsi="Arial" w:cs="Arial"/>
          <w:szCs w:val="20"/>
          <w:lang w:eastAsia="ko-KR"/>
        </w:rPr>
        <w:t> </w:t>
      </w:r>
      <w:r w:rsidR="00645C26" w:rsidRPr="005C5033">
        <w:rPr>
          <w:rFonts w:ascii="Arial" w:eastAsia="DengXian" w:hAnsi="Arial" w:cs="Arial"/>
          <w:szCs w:val="20"/>
          <w:lang w:eastAsia="ko-KR"/>
        </w:rPr>
        <w:t>kHz reference slot is always 1 or 2</w:t>
      </w:r>
      <w:r w:rsidRPr="005C5033">
        <w:rPr>
          <w:rFonts w:ascii="Arial" w:eastAsia="DengXian" w:hAnsi="Arial" w:cs="Arial"/>
          <w:szCs w:val="20"/>
          <w:lang w:eastAsia="ko-KR"/>
        </w:rPr>
        <w:t>,</w:t>
      </w:r>
      <w:r w:rsidR="00645C26" w:rsidRPr="005C5033">
        <w:rPr>
          <w:rFonts w:ascii="Arial" w:eastAsia="DengXian" w:hAnsi="Arial" w:cs="Arial"/>
          <w:szCs w:val="20"/>
          <w:lang w:eastAsia="ko-KR"/>
        </w:rPr>
        <w:t xml:space="preserve"> as reflected in the table column “Number of PRACH slots within a 60</w:t>
      </w:r>
      <w:r w:rsidRPr="005C5033">
        <w:rPr>
          <w:rFonts w:ascii="Arial" w:eastAsia="DengXian" w:hAnsi="Arial" w:cs="Arial"/>
          <w:szCs w:val="20"/>
          <w:lang w:eastAsia="ko-KR"/>
        </w:rPr>
        <w:t> </w:t>
      </w:r>
      <w:r w:rsidR="00645C26" w:rsidRPr="005C5033">
        <w:rPr>
          <w:rFonts w:ascii="Arial" w:eastAsia="DengXian" w:hAnsi="Arial" w:cs="Arial"/>
          <w:szCs w:val="20"/>
          <w:lang w:eastAsia="ko-KR"/>
        </w:rPr>
        <w:t>kHz slot”. As discussed above, in order not to increase the PRACH processing load beyond the load with 120</w:t>
      </w:r>
      <w:r w:rsidR="00512A04" w:rsidRPr="005C5033">
        <w:rPr>
          <w:rFonts w:ascii="Arial" w:eastAsia="DengXian" w:hAnsi="Arial" w:cs="Arial"/>
          <w:szCs w:val="20"/>
          <w:lang w:eastAsia="ko-KR"/>
        </w:rPr>
        <w:t> </w:t>
      </w:r>
      <w:r w:rsidR="00645C26" w:rsidRPr="005C5033">
        <w:rPr>
          <w:rFonts w:ascii="Arial" w:eastAsia="DengXian" w:hAnsi="Arial" w:cs="Arial"/>
          <w:szCs w:val="20"/>
          <w:lang w:eastAsia="ko-KR"/>
        </w:rPr>
        <w:t>kHz SCS</w:t>
      </w:r>
      <w:r w:rsidR="0006465C">
        <w:rPr>
          <w:rFonts w:ascii="Arial" w:eastAsia="DengXian" w:hAnsi="Arial" w:cs="Arial"/>
          <w:szCs w:val="20"/>
          <w:lang w:eastAsia="ko-KR"/>
        </w:rPr>
        <w:t xml:space="preserve"> PRACH</w:t>
      </w:r>
      <w:r w:rsidR="00645C26" w:rsidRPr="005C5033">
        <w:rPr>
          <w:rFonts w:ascii="Arial" w:eastAsia="DengXian" w:hAnsi="Arial" w:cs="Arial"/>
          <w:szCs w:val="20"/>
          <w:lang w:eastAsia="ko-KR"/>
        </w:rPr>
        <w:t xml:space="preserve">, there should still be a maximum of 2 slots used for </w:t>
      </w:r>
      <w:r w:rsidR="0006465C">
        <w:rPr>
          <w:rFonts w:ascii="Arial" w:eastAsia="DengXian" w:hAnsi="Arial" w:cs="Arial"/>
          <w:szCs w:val="20"/>
          <w:lang w:eastAsia="ko-KR"/>
        </w:rPr>
        <w:t xml:space="preserve">480/960 kHz </w:t>
      </w:r>
      <w:r w:rsidR="00645C26" w:rsidRPr="005C5033">
        <w:rPr>
          <w:rFonts w:ascii="Arial" w:eastAsia="DengXian" w:hAnsi="Arial" w:cs="Arial"/>
          <w:szCs w:val="20"/>
          <w:lang w:eastAsia="ko-KR"/>
        </w:rPr>
        <w:t>PRACH within a</w:t>
      </w:r>
      <w:r w:rsidR="007E66C1" w:rsidRPr="005C5033">
        <w:rPr>
          <w:rFonts w:ascii="Arial" w:eastAsia="DengXian" w:hAnsi="Arial" w:cs="Arial"/>
          <w:szCs w:val="20"/>
          <w:lang w:eastAsia="ko-KR"/>
        </w:rPr>
        <w:t>ny</w:t>
      </w:r>
      <w:r w:rsidR="00645C26" w:rsidRPr="005C5033">
        <w:rPr>
          <w:rFonts w:ascii="Arial" w:eastAsia="DengXian" w:hAnsi="Arial" w:cs="Arial"/>
          <w:szCs w:val="20"/>
          <w:lang w:eastAsia="ko-KR"/>
        </w:rPr>
        <w:t xml:space="preserve"> 60</w:t>
      </w:r>
      <w:r w:rsidRPr="005C5033">
        <w:rPr>
          <w:rFonts w:ascii="Arial" w:eastAsia="DengXian" w:hAnsi="Arial" w:cs="Arial"/>
          <w:szCs w:val="20"/>
          <w:lang w:eastAsia="ko-KR"/>
        </w:rPr>
        <w:t> </w:t>
      </w:r>
      <w:r w:rsidR="00645C26" w:rsidRPr="005C5033">
        <w:rPr>
          <w:rFonts w:ascii="Arial" w:eastAsia="DengXian" w:hAnsi="Arial" w:cs="Arial"/>
          <w:szCs w:val="20"/>
          <w:lang w:eastAsia="ko-KR"/>
        </w:rPr>
        <w:t>kHz</w:t>
      </w:r>
      <w:r w:rsidR="007E66C1" w:rsidRPr="005C5033">
        <w:rPr>
          <w:rFonts w:ascii="Arial" w:eastAsia="DengXian" w:hAnsi="Arial" w:cs="Arial"/>
          <w:szCs w:val="20"/>
          <w:lang w:eastAsia="ko-KR"/>
        </w:rPr>
        <w:t xml:space="preserve"> reference</w:t>
      </w:r>
      <w:r w:rsidR="00645C26" w:rsidRPr="005C5033">
        <w:rPr>
          <w:rFonts w:ascii="Arial" w:eastAsia="DengXian" w:hAnsi="Arial" w:cs="Arial"/>
          <w:szCs w:val="20"/>
          <w:lang w:eastAsia="ko-KR"/>
        </w:rPr>
        <w:t xml:space="preserve"> slot. For Rel-15/16 FR2, which </w:t>
      </w:r>
      <w:r w:rsidR="00376A80" w:rsidRPr="005C5033">
        <w:rPr>
          <w:rFonts w:ascii="Arial" w:eastAsia="DengXian" w:hAnsi="Arial" w:cs="Arial"/>
          <w:szCs w:val="20"/>
          <w:lang w:eastAsia="ko-KR"/>
        </w:rPr>
        <w:t xml:space="preserve">1 or 2 </w:t>
      </w:r>
      <w:r w:rsidR="00645C26" w:rsidRPr="005C5033">
        <w:rPr>
          <w:rFonts w:ascii="Arial" w:eastAsia="DengXian" w:hAnsi="Arial" w:cs="Arial"/>
          <w:szCs w:val="20"/>
          <w:lang w:eastAsia="ko-KR"/>
        </w:rPr>
        <w:t>slot</w:t>
      </w:r>
      <w:r w:rsidR="00376A80" w:rsidRPr="005C5033">
        <w:rPr>
          <w:rFonts w:ascii="Arial" w:eastAsia="DengXian" w:hAnsi="Arial" w:cs="Arial"/>
          <w:szCs w:val="20"/>
          <w:lang w:eastAsia="ko-KR"/>
        </w:rPr>
        <w:t>s</w:t>
      </w:r>
      <w:r w:rsidR="00645C26" w:rsidRPr="005C5033">
        <w:rPr>
          <w:rFonts w:ascii="Arial" w:eastAsia="DengXian" w:hAnsi="Arial" w:cs="Arial"/>
          <w:szCs w:val="20"/>
          <w:lang w:eastAsia="ko-KR"/>
        </w:rPr>
        <w:t xml:space="preserve"> within a 60 kHz </w:t>
      </w:r>
      <w:r w:rsidR="0006465C">
        <w:rPr>
          <w:rFonts w:ascii="Arial" w:eastAsia="DengXian" w:hAnsi="Arial" w:cs="Arial"/>
          <w:szCs w:val="20"/>
          <w:lang w:eastAsia="ko-KR"/>
        </w:rPr>
        <w:t xml:space="preserve">reference </w:t>
      </w:r>
      <w:r w:rsidR="00645C26" w:rsidRPr="005C5033">
        <w:rPr>
          <w:rFonts w:ascii="Arial" w:eastAsia="DengXian" w:hAnsi="Arial" w:cs="Arial"/>
          <w:szCs w:val="20"/>
          <w:lang w:eastAsia="ko-KR"/>
        </w:rPr>
        <w:t xml:space="preserve">slot to use for PRACH </w:t>
      </w:r>
      <w:r w:rsidR="00376A80" w:rsidRPr="005C5033">
        <w:rPr>
          <w:rFonts w:ascii="Arial" w:eastAsia="DengXian" w:hAnsi="Arial" w:cs="Arial"/>
          <w:szCs w:val="20"/>
          <w:lang w:eastAsia="ko-KR"/>
        </w:rPr>
        <w:t>is derived from</w:t>
      </w:r>
      <w:r w:rsidR="00645C26" w:rsidRPr="005C5033">
        <w:rPr>
          <w:rFonts w:ascii="Arial" w:eastAsia="DengXian" w:hAnsi="Arial" w:cs="Arial"/>
          <w:szCs w:val="20"/>
          <w:lang w:eastAsia="ko-KR"/>
        </w:rPr>
        <w:t xml:space="preserve"> </w:t>
      </w:r>
      <w:r w:rsidR="005F3E50" w:rsidRPr="005C5033">
        <w:rPr>
          <w:rFonts w:ascii="Arial" w:eastAsia="DengXian" w:hAnsi="Arial" w:cs="Arial"/>
          <w:szCs w:val="20"/>
          <w:lang w:eastAsia="ko-KR"/>
        </w:rPr>
        <w:t xml:space="preserve">the </w:t>
      </w:r>
      <w:r w:rsidR="0006465C">
        <w:rPr>
          <w:rFonts w:ascii="Arial" w:eastAsia="DengXian" w:hAnsi="Arial" w:cs="Arial"/>
          <w:szCs w:val="20"/>
          <w:lang w:eastAsia="ko-KR"/>
        </w:rPr>
        <w:t>configured</w:t>
      </w:r>
      <w:r w:rsidR="00376A80" w:rsidRPr="005C5033">
        <w:rPr>
          <w:rFonts w:ascii="Arial" w:eastAsia="DengXian" w:hAnsi="Arial" w:cs="Arial"/>
          <w:szCs w:val="20"/>
          <w:lang w:eastAsia="ko-KR"/>
        </w:rPr>
        <w:t xml:space="preserve"> PRACH SCS and the </w:t>
      </w:r>
      <w:r w:rsidR="00645C26" w:rsidRPr="005C5033">
        <w:rPr>
          <w:rFonts w:ascii="Arial" w:eastAsia="DengXian" w:hAnsi="Arial" w:cs="Arial"/>
          <w:szCs w:val="20"/>
          <w:lang w:eastAsia="ko-KR"/>
        </w:rPr>
        <w:t xml:space="preserve">value in the </w:t>
      </w:r>
      <w:r w:rsidR="00D32067" w:rsidRPr="005C5033">
        <w:rPr>
          <w:rFonts w:ascii="Arial" w:eastAsia="DengXian" w:hAnsi="Arial" w:cs="Arial"/>
          <w:szCs w:val="20"/>
          <w:lang w:eastAsia="ko-KR"/>
        </w:rPr>
        <w:t xml:space="preserve">table </w:t>
      </w:r>
      <w:r w:rsidR="00645C26" w:rsidRPr="005C5033">
        <w:rPr>
          <w:rFonts w:ascii="Arial" w:eastAsia="DengXian" w:hAnsi="Arial" w:cs="Arial"/>
          <w:szCs w:val="20"/>
          <w:lang w:eastAsia="ko-KR"/>
        </w:rPr>
        <w:t>column “Number of PRACH slots within a 60</w:t>
      </w:r>
      <w:r w:rsidR="001122E8" w:rsidRPr="005C5033">
        <w:rPr>
          <w:rFonts w:ascii="Arial" w:eastAsia="DengXian" w:hAnsi="Arial" w:cs="Arial"/>
          <w:szCs w:val="20"/>
          <w:lang w:eastAsia="ko-KR"/>
        </w:rPr>
        <w:t> </w:t>
      </w:r>
      <w:r w:rsidR="00645C26" w:rsidRPr="005C5033">
        <w:rPr>
          <w:rFonts w:ascii="Arial" w:eastAsia="DengXian" w:hAnsi="Arial" w:cs="Arial"/>
          <w:szCs w:val="20"/>
          <w:lang w:eastAsia="ko-KR"/>
        </w:rPr>
        <w:t>kHz slot”</w:t>
      </w:r>
      <w:r w:rsidR="00CC581B" w:rsidRPr="005C5033">
        <w:rPr>
          <w:rFonts w:ascii="Arial" w:eastAsia="DengXian" w:hAnsi="Arial" w:cs="Arial"/>
          <w:szCs w:val="20"/>
          <w:lang w:eastAsia="ko-KR"/>
        </w:rPr>
        <w:t>.</w:t>
      </w:r>
      <w:r w:rsidR="008E1650" w:rsidRPr="005C5033">
        <w:rPr>
          <w:rFonts w:ascii="Arial" w:eastAsia="DengXian" w:hAnsi="Arial" w:cs="Arial"/>
          <w:szCs w:val="20"/>
          <w:lang w:eastAsia="ko-KR"/>
        </w:rPr>
        <w:t xml:space="preserve"> </w:t>
      </w:r>
      <w:r w:rsidR="00CC581B" w:rsidRPr="005C5033">
        <w:rPr>
          <w:rFonts w:ascii="Arial" w:eastAsia="DengXian" w:hAnsi="Arial" w:cs="Arial"/>
          <w:szCs w:val="20"/>
          <w:lang w:eastAsia="ko-KR"/>
        </w:rPr>
        <w:t xml:space="preserve">According to Section 5.3.2 of 3GPP TS 38.211 </w:t>
      </w:r>
      <w:r w:rsidR="00F325B2" w:rsidRPr="005C5033">
        <w:rPr>
          <w:rFonts w:ascii="Arial" w:eastAsia="DengXian" w:hAnsi="Arial" w:cs="Arial"/>
          <w:szCs w:val="20"/>
          <w:lang w:eastAsia="ko-KR"/>
        </w:rPr>
        <w:fldChar w:fldCharType="begin"/>
      </w:r>
      <w:r w:rsidR="00F325B2" w:rsidRPr="005C5033">
        <w:rPr>
          <w:rFonts w:ascii="Arial" w:eastAsia="DengXian" w:hAnsi="Arial" w:cs="Arial"/>
          <w:szCs w:val="20"/>
          <w:lang w:eastAsia="ko-KR"/>
        </w:rPr>
        <w:instrText xml:space="preserve"> REF _Ref61010403 \r \h </w:instrText>
      </w:r>
      <w:r w:rsidR="00F325B2" w:rsidRPr="005C5033">
        <w:rPr>
          <w:rFonts w:ascii="Arial" w:eastAsia="DengXian" w:hAnsi="Arial" w:cs="Arial"/>
          <w:szCs w:val="20"/>
          <w:lang w:eastAsia="ko-KR"/>
        </w:rPr>
      </w:r>
      <w:r w:rsidR="00F325B2" w:rsidRPr="005C5033">
        <w:rPr>
          <w:rFonts w:ascii="Arial" w:eastAsia="DengXian" w:hAnsi="Arial" w:cs="Arial"/>
          <w:szCs w:val="20"/>
          <w:lang w:eastAsia="ko-KR"/>
        </w:rPr>
        <w:fldChar w:fldCharType="separate"/>
      </w:r>
      <w:r w:rsidR="00F325B2" w:rsidRPr="005C5033">
        <w:rPr>
          <w:rFonts w:ascii="Arial" w:eastAsia="DengXian" w:hAnsi="Arial" w:cs="Arial"/>
          <w:szCs w:val="20"/>
          <w:lang w:eastAsia="ko-KR"/>
        </w:rPr>
        <w:t>[4]</w:t>
      </w:r>
      <w:r w:rsidR="00F325B2" w:rsidRPr="005C5033">
        <w:rPr>
          <w:rFonts w:ascii="Arial" w:eastAsia="DengXian" w:hAnsi="Arial" w:cs="Arial"/>
          <w:szCs w:val="20"/>
          <w:lang w:eastAsia="ko-KR"/>
        </w:rPr>
        <w:fldChar w:fldCharType="end"/>
      </w:r>
      <w:r w:rsidR="00B05B80" w:rsidRPr="005C5033">
        <w:rPr>
          <w:rFonts w:ascii="Arial" w:eastAsia="DengXian" w:hAnsi="Arial" w:cs="Arial"/>
          <w:szCs w:val="20"/>
          <w:lang w:eastAsia="ko-KR"/>
        </w:rPr>
        <w:t>,</w:t>
      </w:r>
      <w:r w:rsidR="00F325B2" w:rsidRPr="005C5033">
        <w:rPr>
          <w:rFonts w:ascii="Arial" w:eastAsia="DengXian" w:hAnsi="Arial" w:cs="Arial"/>
          <w:szCs w:val="20"/>
          <w:lang w:eastAsia="ko-KR"/>
        </w:rPr>
        <w:t xml:space="preserve"> </w:t>
      </w:r>
      <w:r w:rsidR="00CC581B" w:rsidRPr="005C5033">
        <w:rPr>
          <w:rFonts w:ascii="Arial" w:eastAsia="DengXian" w:hAnsi="Arial" w:cs="Arial"/>
          <w:szCs w:val="20"/>
          <w:lang w:eastAsia="ko-KR"/>
        </w:rPr>
        <w:t>t</w:t>
      </w:r>
      <w:r w:rsidR="008E1650" w:rsidRPr="005C5033">
        <w:rPr>
          <w:rFonts w:ascii="Arial" w:eastAsia="DengXian" w:hAnsi="Arial" w:cs="Arial"/>
          <w:szCs w:val="20"/>
          <w:lang w:eastAsia="ko-KR"/>
        </w:rPr>
        <w:t xml:space="preserve">he </w:t>
      </w:r>
      <w:r w:rsidR="00504FDC" w:rsidRPr="005C5033">
        <w:rPr>
          <w:rFonts w:ascii="Arial" w:eastAsia="DengXian" w:hAnsi="Arial" w:cs="Arial"/>
          <w:szCs w:val="20"/>
          <w:lang w:eastAsia="ko-KR"/>
        </w:rPr>
        <w:t xml:space="preserve">PRACH </w:t>
      </w:r>
      <w:r w:rsidR="008E1650" w:rsidRPr="005C5033">
        <w:rPr>
          <w:rFonts w:ascii="Arial" w:eastAsia="DengXian" w:hAnsi="Arial" w:cs="Arial"/>
          <w:szCs w:val="20"/>
          <w:lang w:eastAsia="ko-KR"/>
        </w:rPr>
        <w:t>slot inde</w:t>
      </w:r>
      <w:r w:rsidR="00504FDC" w:rsidRPr="005C5033">
        <w:rPr>
          <w:rFonts w:ascii="Arial" w:eastAsia="DengXian" w:hAnsi="Arial" w:cs="Arial"/>
          <w:szCs w:val="20"/>
          <w:lang w:eastAsia="ko-KR"/>
        </w:rPr>
        <w:t>x</w:t>
      </w:r>
      <w:r w:rsidR="008E1650" w:rsidRPr="005C5033">
        <w:rPr>
          <w:rFonts w:ascii="Arial" w:eastAsia="DengXian" w:hAnsi="Arial" w:cs="Arial"/>
          <w:szCs w:val="20"/>
          <w:lang w:eastAsia="ko-KR"/>
        </w:rPr>
        <w:t xml:space="preserve"> </w:t>
      </w:r>
      <w:r w:rsidR="00504FDC" w:rsidRPr="00F5624F">
        <w:rPr>
          <w:noProof/>
          <w:position w:val="-10"/>
        </w:rPr>
        <w:drawing>
          <wp:inline distT="0" distB="0" distL="0" distR="0" wp14:anchorId="339EAA37" wp14:editId="68F4E0B6">
            <wp:extent cx="238125" cy="2095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00504FDC" w:rsidRPr="005C5033">
        <w:rPr>
          <w:rFonts w:ascii="Arial" w:eastAsia="DengXian" w:hAnsi="Arial" w:cs="Arial"/>
          <w:szCs w:val="20"/>
          <w:lang w:eastAsia="ko-KR"/>
        </w:rPr>
        <w:t xml:space="preserve"> </w:t>
      </w:r>
      <w:r w:rsidR="008E1650" w:rsidRPr="005C5033">
        <w:rPr>
          <w:rFonts w:ascii="Arial" w:eastAsia="DengXian" w:hAnsi="Arial" w:cs="Arial"/>
          <w:szCs w:val="20"/>
          <w:lang w:eastAsia="ko-KR"/>
        </w:rPr>
        <w:t>within a 60</w:t>
      </w:r>
      <w:r w:rsidR="00C31050" w:rsidRPr="005C5033">
        <w:rPr>
          <w:rFonts w:ascii="Arial" w:eastAsia="DengXian" w:hAnsi="Arial" w:cs="Arial"/>
          <w:szCs w:val="20"/>
          <w:lang w:eastAsia="ko-KR"/>
        </w:rPr>
        <w:t> </w:t>
      </w:r>
      <w:r w:rsidR="008E1650" w:rsidRPr="005C5033">
        <w:rPr>
          <w:rFonts w:ascii="Arial" w:eastAsia="DengXian" w:hAnsi="Arial" w:cs="Arial"/>
          <w:szCs w:val="20"/>
          <w:lang w:eastAsia="ko-KR"/>
        </w:rPr>
        <w:t xml:space="preserve">kHz slot is </w:t>
      </w:r>
      <w:r w:rsidR="00D32067" w:rsidRPr="005C5033">
        <w:rPr>
          <w:rFonts w:ascii="Arial" w:eastAsia="DengXian" w:hAnsi="Arial" w:cs="Arial"/>
          <w:szCs w:val="20"/>
          <w:lang w:eastAsia="ko-KR"/>
        </w:rPr>
        <w:t>obtained as follows:</w:t>
      </w:r>
    </w:p>
    <w:p w14:paraId="31C202FD" w14:textId="0030C249" w:rsidR="00645C26" w:rsidRPr="00184903" w:rsidRDefault="00645C26" w:rsidP="00645C26">
      <w:pPr>
        <w:pStyle w:val="B2"/>
      </w:pPr>
      <w:r>
        <w:t>-</w:t>
      </w:r>
      <w:r>
        <w:tab/>
      </w:r>
      <w:r w:rsidRPr="00184903">
        <w:t xml:space="preserve">if </w:t>
      </w:r>
      <w:r w:rsidRPr="005C5033">
        <w:rPr>
          <w:noProof/>
          <w:position w:val="-12"/>
        </w:rPr>
        <w:drawing>
          <wp:inline distT="0" distB="0" distL="0" distR="0" wp14:anchorId="74A34DCE" wp14:editId="26FE2DD3">
            <wp:extent cx="1476375" cy="238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76375" cy="238125"/>
                    </a:xfrm>
                    <a:prstGeom prst="rect">
                      <a:avLst/>
                    </a:prstGeom>
                    <a:noFill/>
                    <a:ln>
                      <a:noFill/>
                    </a:ln>
                  </pic:spPr>
                </pic:pic>
              </a:graphicData>
            </a:graphic>
          </wp:inline>
        </w:drawing>
      </w:r>
      <w:r w:rsidRPr="00184903">
        <w:t xml:space="preserve">, then </w:t>
      </w:r>
      <w:r w:rsidRPr="005C5033">
        <w:rPr>
          <w:noProof/>
          <w:position w:val="-10"/>
        </w:rPr>
        <w:drawing>
          <wp:inline distT="0" distB="0" distL="0" distR="0" wp14:anchorId="37ECD08C" wp14:editId="2B8B84D5">
            <wp:extent cx="447675" cy="2095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p>
    <w:p w14:paraId="7AF974C1" w14:textId="45E8A638" w:rsidR="00645C26" w:rsidRPr="00B04B4C" w:rsidRDefault="00645C26" w:rsidP="00645C26">
      <w:pPr>
        <w:pStyle w:val="B2"/>
        <w:rPr>
          <w:highlight w:val="yellow"/>
        </w:rPr>
      </w:pPr>
      <w:r>
        <w:t>-</w:t>
      </w:r>
      <w:r>
        <w:tab/>
      </w:r>
      <w:r w:rsidRPr="00184903">
        <w:t xml:space="preserve">if </w:t>
      </w:r>
      <w:r w:rsidRPr="005C5033">
        <w:rPr>
          <w:noProof/>
          <w:position w:val="-12"/>
        </w:rPr>
        <w:drawing>
          <wp:inline distT="0" distB="0" distL="0" distR="0" wp14:anchorId="13095651" wp14:editId="412BBC6E">
            <wp:extent cx="11811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184903">
        <w:t xml:space="preserve"> and either of </w:t>
      </w:r>
      <w:r>
        <w:t>"</w:t>
      </w:r>
      <w:r w:rsidRPr="00184903">
        <w:t>Number of PRACH slots within a subframe</w:t>
      </w:r>
      <w:r>
        <w:t>"</w:t>
      </w:r>
      <w:r w:rsidRPr="00184903">
        <w:t xml:space="preserve"> in Tables 6.3.3.2-2 to 6.3.3.2-3 or </w:t>
      </w:r>
      <w:r w:rsidRPr="00B04B4C">
        <w:rPr>
          <w:highlight w:val="yellow"/>
        </w:rPr>
        <w:t xml:space="preserve">"Number of PRACH slots within a 60 kHz slot" in Table 6.3.3.2-4 is equal to 1, then </w:t>
      </w:r>
      <w:r w:rsidRPr="00B04B4C">
        <w:rPr>
          <w:position w:val="-10"/>
          <w:highlight w:val="yellow"/>
        </w:rPr>
        <w:drawing>
          <wp:inline distT="0" distB="0" distL="0" distR="0" wp14:anchorId="68411187" wp14:editId="502991A0">
            <wp:extent cx="4191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p w14:paraId="4F010FF1" w14:textId="7130BFFA" w:rsidR="00645C26" w:rsidRPr="00184903" w:rsidRDefault="00645C26" w:rsidP="00645C26">
      <w:pPr>
        <w:pStyle w:val="B2"/>
      </w:pPr>
      <w:r w:rsidRPr="00B04B4C">
        <w:rPr>
          <w:highlight w:val="yellow"/>
        </w:rPr>
        <w:t>-</w:t>
      </w:r>
      <w:r w:rsidRPr="00B04B4C">
        <w:rPr>
          <w:highlight w:val="yellow"/>
        </w:rPr>
        <w:tab/>
        <w:t xml:space="preserve">otherwise, </w:t>
      </w:r>
      <w:r w:rsidRPr="00B04B4C">
        <w:rPr>
          <w:position w:val="-12"/>
          <w:highlight w:val="yellow"/>
        </w:rPr>
        <w:drawing>
          <wp:inline distT="0" distB="0" distL="0" distR="0" wp14:anchorId="234A5969" wp14:editId="3DDD6321">
            <wp:extent cx="628650" cy="2381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p>
    <w:p w14:paraId="0FF83587" w14:textId="04029B20" w:rsidR="0006465C" w:rsidRDefault="0006465C" w:rsidP="00FD1284">
      <w:pPr>
        <w:pStyle w:val="B1"/>
        <w:spacing w:after="0"/>
        <w:ind w:left="0" w:firstLine="0"/>
        <w:rPr>
          <w:rFonts w:ascii="Arial" w:eastAsia="DengXian" w:hAnsi="Arial" w:cs="Arial"/>
          <w:szCs w:val="20"/>
          <w:lang w:eastAsia="ko-KR"/>
        </w:rPr>
      </w:pPr>
      <w:r>
        <w:rPr>
          <w:rFonts w:ascii="Arial" w:eastAsia="DengXian" w:hAnsi="Arial" w:cs="Arial"/>
          <w:szCs w:val="20"/>
          <w:lang w:eastAsia="ko-KR"/>
        </w:rPr>
        <w:t>Thus, for 120</w:t>
      </w:r>
      <w:r w:rsidR="00F24AC5">
        <w:rPr>
          <w:rFonts w:ascii="Arial" w:eastAsia="DengXian" w:hAnsi="Arial" w:cs="Arial"/>
          <w:szCs w:val="20"/>
          <w:lang w:eastAsia="ko-KR"/>
        </w:rPr>
        <w:t> </w:t>
      </w:r>
      <w:r>
        <w:rPr>
          <w:rFonts w:ascii="Arial" w:eastAsia="DengXian" w:hAnsi="Arial" w:cs="Arial"/>
          <w:szCs w:val="20"/>
          <w:lang w:eastAsia="ko-KR"/>
        </w:rPr>
        <w:t>kHz PRACH, if only 1 PRACH slot is indicated, then only the 2</w:t>
      </w:r>
      <w:r w:rsidRPr="005C5033">
        <w:rPr>
          <w:rFonts w:ascii="Arial" w:eastAsia="DengXian" w:hAnsi="Arial" w:cs="Arial"/>
          <w:szCs w:val="20"/>
          <w:vertAlign w:val="superscript"/>
          <w:lang w:eastAsia="ko-KR"/>
        </w:rPr>
        <w:t>nd</w:t>
      </w:r>
      <w:r>
        <w:rPr>
          <w:rFonts w:ascii="Arial" w:eastAsia="DengXian" w:hAnsi="Arial" w:cs="Arial"/>
          <w:szCs w:val="20"/>
          <w:lang w:eastAsia="ko-KR"/>
        </w:rPr>
        <w:t xml:space="preserve"> of the two PRACH slots within the reference 60</w:t>
      </w:r>
      <w:r w:rsidR="00F24AC5">
        <w:rPr>
          <w:rFonts w:ascii="Arial" w:eastAsia="DengXian" w:hAnsi="Arial" w:cs="Arial"/>
          <w:szCs w:val="20"/>
          <w:lang w:eastAsia="ko-KR"/>
        </w:rPr>
        <w:t> </w:t>
      </w:r>
      <w:r>
        <w:rPr>
          <w:rFonts w:ascii="Arial" w:eastAsia="DengXian" w:hAnsi="Arial" w:cs="Arial"/>
          <w:szCs w:val="20"/>
          <w:lang w:eastAsia="ko-KR"/>
        </w:rPr>
        <w:t>kHz slot</w:t>
      </w:r>
      <w:r w:rsidR="00EE33CD">
        <w:rPr>
          <w:rFonts w:ascii="Arial" w:eastAsia="DengXian" w:hAnsi="Arial" w:cs="Arial"/>
          <w:szCs w:val="20"/>
          <w:lang w:eastAsia="ko-KR"/>
        </w:rPr>
        <w:t xml:space="preserve"> is used; otherwise both are used.</w:t>
      </w:r>
    </w:p>
    <w:p w14:paraId="6E924446" w14:textId="77777777" w:rsidR="0006465C" w:rsidRDefault="0006465C" w:rsidP="00FD1284">
      <w:pPr>
        <w:pStyle w:val="B1"/>
        <w:spacing w:after="0"/>
        <w:ind w:left="0" w:firstLine="0"/>
        <w:rPr>
          <w:rFonts w:ascii="Arial" w:eastAsia="DengXian" w:hAnsi="Arial" w:cs="Arial"/>
          <w:szCs w:val="20"/>
          <w:lang w:eastAsia="ko-KR"/>
        </w:rPr>
      </w:pPr>
    </w:p>
    <w:p w14:paraId="519044B0" w14:textId="67AD3912" w:rsidR="00E408EA" w:rsidRDefault="00EE33CD" w:rsidP="00FD1284">
      <w:pPr>
        <w:pStyle w:val="B1"/>
        <w:spacing w:after="0"/>
        <w:ind w:left="0" w:firstLine="0"/>
        <w:rPr>
          <w:rFonts w:ascii="Arial" w:eastAsia="DengXian" w:hAnsi="Arial" w:cs="Arial"/>
          <w:szCs w:val="20"/>
          <w:lang w:eastAsia="ko-KR"/>
        </w:rPr>
      </w:pPr>
      <w:r>
        <w:rPr>
          <w:rFonts w:ascii="Arial" w:eastAsia="DengXian" w:hAnsi="Arial" w:cs="Arial"/>
          <w:szCs w:val="20"/>
          <w:lang w:eastAsia="ko-KR"/>
        </w:rPr>
        <w:t>For 480/960 kHz, c</w:t>
      </w:r>
      <w:r w:rsidR="00645C26" w:rsidRPr="005C5033">
        <w:rPr>
          <w:rFonts w:ascii="Arial" w:eastAsia="DengXian" w:hAnsi="Arial" w:cs="Arial"/>
          <w:szCs w:val="20"/>
          <w:lang w:eastAsia="ko-KR"/>
        </w:rPr>
        <w:t>orresponding rules for which 1 or 2 slot</w:t>
      </w:r>
      <w:r w:rsidR="00EC74AE" w:rsidRPr="005C5033">
        <w:rPr>
          <w:rFonts w:ascii="Arial" w:eastAsia="DengXian" w:hAnsi="Arial" w:cs="Arial"/>
          <w:szCs w:val="20"/>
          <w:lang w:eastAsia="ko-KR"/>
        </w:rPr>
        <w:t xml:space="preserve">s </w:t>
      </w:r>
      <w:r w:rsidR="00645C26" w:rsidRPr="005C5033">
        <w:rPr>
          <w:rFonts w:ascii="Arial" w:eastAsia="DengXian" w:hAnsi="Arial" w:cs="Arial"/>
          <w:szCs w:val="20"/>
          <w:lang w:eastAsia="ko-KR"/>
        </w:rPr>
        <w:t xml:space="preserve">to use for </w:t>
      </w:r>
      <w:r w:rsidR="00363D67" w:rsidRPr="005C5033">
        <w:rPr>
          <w:rFonts w:ascii="Arial" w:eastAsia="DengXian" w:hAnsi="Arial" w:cs="Arial"/>
          <w:szCs w:val="20"/>
          <w:lang w:eastAsia="ko-KR"/>
        </w:rPr>
        <w:t xml:space="preserve">PRACH </w:t>
      </w:r>
      <w:r w:rsidR="00645C26" w:rsidRPr="005C5033">
        <w:rPr>
          <w:rFonts w:ascii="Arial" w:eastAsia="DengXian" w:hAnsi="Arial" w:cs="Arial"/>
          <w:szCs w:val="20"/>
          <w:lang w:eastAsia="ko-KR"/>
        </w:rPr>
        <w:t xml:space="preserve">must be specified. </w:t>
      </w:r>
      <w:r w:rsidR="009326CE" w:rsidRPr="005C5033">
        <w:rPr>
          <w:rFonts w:ascii="Arial" w:eastAsia="DengXian" w:hAnsi="Arial" w:cs="Arial"/>
          <w:szCs w:val="20"/>
          <w:lang w:eastAsia="ko-KR"/>
        </w:rPr>
        <w:t>P</w:t>
      </w:r>
      <w:r w:rsidR="00645C26" w:rsidRPr="005C5033">
        <w:rPr>
          <w:rFonts w:ascii="Arial" w:eastAsia="DengXian" w:hAnsi="Arial" w:cs="Arial"/>
          <w:szCs w:val="20"/>
          <w:lang w:eastAsia="ko-KR"/>
        </w:rPr>
        <w:t xml:space="preserve">ossible </w:t>
      </w:r>
      <w:r w:rsidR="00AC68B3" w:rsidRPr="005C5033">
        <w:rPr>
          <w:rFonts w:ascii="Arial" w:eastAsia="DengXian" w:hAnsi="Arial" w:cs="Arial"/>
          <w:szCs w:val="20"/>
          <w:lang w:eastAsia="ko-KR"/>
        </w:rPr>
        <w:t>rules for which</w:t>
      </w:r>
      <w:r w:rsidR="00645C26" w:rsidRPr="005C5033">
        <w:rPr>
          <w:rFonts w:ascii="Arial" w:eastAsia="DengXian" w:hAnsi="Arial" w:cs="Arial"/>
          <w:szCs w:val="20"/>
          <w:lang w:eastAsia="ko-KR"/>
        </w:rPr>
        <w:t xml:space="preserve"> </w:t>
      </w:r>
      <w:r w:rsidR="008E6E7F" w:rsidRPr="005C5033">
        <w:rPr>
          <w:rFonts w:ascii="Arial" w:eastAsia="DengXian" w:hAnsi="Arial" w:cs="Arial"/>
          <w:szCs w:val="20"/>
          <w:lang w:eastAsia="ko-KR"/>
        </w:rPr>
        <w:t xml:space="preserve">480/960 kHz </w:t>
      </w:r>
      <w:r w:rsidR="00645C26" w:rsidRPr="005C5033">
        <w:rPr>
          <w:rFonts w:ascii="Arial" w:eastAsia="DengXian" w:hAnsi="Arial" w:cs="Arial"/>
          <w:szCs w:val="20"/>
          <w:lang w:eastAsia="ko-KR"/>
        </w:rPr>
        <w:t>slot</w:t>
      </w:r>
      <w:r w:rsidR="00AC68B3" w:rsidRPr="005C5033">
        <w:rPr>
          <w:rFonts w:ascii="Arial" w:eastAsia="DengXian" w:hAnsi="Arial" w:cs="Arial"/>
          <w:szCs w:val="20"/>
          <w:lang w:eastAsia="ko-KR"/>
        </w:rPr>
        <w:t>s to use when</w:t>
      </w:r>
      <w:r w:rsidR="00645C26" w:rsidRPr="005C5033">
        <w:rPr>
          <w:rFonts w:ascii="Arial" w:eastAsia="DengXian" w:hAnsi="Arial" w:cs="Arial"/>
          <w:szCs w:val="20"/>
          <w:lang w:eastAsia="ko-KR"/>
        </w:rPr>
        <w:t xml:space="preserve"> “Number of PRACH slots within a 60 kHz slot” equals 1 </w:t>
      </w:r>
      <w:r w:rsidR="00AC68B3" w:rsidRPr="005C5033">
        <w:rPr>
          <w:rFonts w:ascii="Arial" w:eastAsia="DengXian" w:hAnsi="Arial" w:cs="Arial"/>
          <w:szCs w:val="20"/>
          <w:lang w:eastAsia="ko-KR"/>
        </w:rPr>
        <w:t>are</w:t>
      </w:r>
      <w:r w:rsidR="00645C26" w:rsidRPr="005C5033">
        <w:rPr>
          <w:rFonts w:ascii="Arial" w:eastAsia="DengXian" w:hAnsi="Arial" w:cs="Arial"/>
          <w:szCs w:val="20"/>
          <w:lang w:eastAsia="ko-KR"/>
        </w:rPr>
        <w:t xml:space="preserve"> </w:t>
      </w:r>
      <w:r w:rsidR="00AC68B3" w:rsidRPr="005C5033">
        <w:rPr>
          <w:rFonts w:ascii="Arial" w:eastAsia="DengXian" w:hAnsi="Arial" w:cs="Arial"/>
          <w:szCs w:val="20"/>
          <w:lang w:eastAsia="ko-KR"/>
        </w:rPr>
        <w:t>illustrated</w:t>
      </w:r>
      <w:r w:rsidR="00645C26" w:rsidRPr="005C5033">
        <w:rPr>
          <w:rFonts w:ascii="Arial" w:eastAsia="DengXian" w:hAnsi="Arial" w:cs="Arial"/>
          <w:szCs w:val="20"/>
          <w:lang w:eastAsia="ko-KR"/>
        </w:rPr>
        <w:t xml:space="preserve"> in </w:t>
      </w:r>
      <w:r w:rsidR="00B04B4C">
        <w:rPr>
          <w:rFonts w:ascii="Arial" w:eastAsia="DengXian" w:hAnsi="Arial" w:cs="Arial"/>
          <w:szCs w:val="20"/>
          <w:lang w:eastAsia="ko-KR"/>
        </w:rPr>
        <w:fldChar w:fldCharType="begin"/>
      </w:r>
      <w:r w:rsidR="00B04B4C">
        <w:rPr>
          <w:rFonts w:ascii="Arial" w:eastAsia="DengXian" w:hAnsi="Arial" w:cs="Arial"/>
          <w:szCs w:val="20"/>
          <w:lang w:eastAsia="ko-KR"/>
        </w:rPr>
        <w:instrText xml:space="preserve"> REF _Ref61858673 \h  \* MERGEFORMAT </w:instrText>
      </w:r>
      <w:r w:rsidR="00B04B4C">
        <w:rPr>
          <w:rFonts w:ascii="Arial" w:eastAsia="DengXian" w:hAnsi="Arial" w:cs="Arial"/>
          <w:szCs w:val="20"/>
          <w:lang w:eastAsia="ko-KR"/>
        </w:rPr>
      </w:r>
      <w:r w:rsidR="00B04B4C">
        <w:rPr>
          <w:rFonts w:ascii="Arial" w:eastAsia="DengXian" w:hAnsi="Arial" w:cs="Arial"/>
          <w:szCs w:val="20"/>
          <w:lang w:eastAsia="ko-KR"/>
        </w:rPr>
        <w:fldChar w:fldCharType="separate"/>
      </w:r>
      <w:r w:rsidR="00B04B4C" w:rsidRPr="00B04B4C">
        <w:rPr>
          <w:rFonts w:ascii="Arial" w:eastAsia="DengXian" w:hAnsi="Arial" w:cs="Arial"/>
          <w:szCs w:val="20"/>
          <w:lang w:eastAsia="ko-KR"/>
        </w:rPr>
        <w:t>Figure 6</w:t>
      </w:r>
      <w:r w:rsidR="00B04B4C">
        <w:rPr>
          <w:rFonts w:ascii="Arial" w:eastAsia="DengXian" w:hAnsi="Arial" w:cs="Arial"/>
          <w:szCs w:val="20"/>
          <w:lang w:eastAsia="ko-KR"/>
        </w:rPr>
        <w:fldChar w:fldCharType="end"/>
      </w:r>
      <w:r w:rsidR="00645C26" w:rsidRPr="005C5033">
        <w:rPr>
          <w:rFonts w:ascii="Arial" w:eastAsia="DengXian" w:hAnsi="Arial" w:cs="Arial"/>
          <w:szCs w:val="20"/>
          <w:lang w:eastAsia="ko-KR"/>
        </w:rPr>
        <w:t xml:space="preserve"> (exemplified for PRACH configuration </w:t>
      </w:r>
      <w:r w:rsidR="008E5DD3" w:rsidRPr="005C5033">
        <w:rPr>
          <w:rFonts w:ascii="Arial" w:eastAsia="DengXian" w:hAnsi="Arial" w:cs="Arial"/>
          <w:szCs w:val="20"/>
          <w:lang w:eastAsia="ko-KR"/>
        </w:rPr>
        <w:t xml:space="preserve">71 </w:t>
      </w:r>
      <w:r w:rsidR="00645C26" w:rsidRPr="005C5033">
        <w:rPr>
          <w:rFonts w:ascii="Arial" w:eastAsia="DengXian" w:hAnsi="Arial" w:cs="Arial"/>
          <w:szCs w:val="20"/>
          <w:lang w:eastAsia="ko-KR"/>
        </w:rPr>
        <w:t xml:space="preserve">in </w:t>
      </w:r>
      <w:r w:rsidR="00EC74AE" w:rsidRPr="005C5033">
        <w:rPr>
          <w:rFonts w:ascii="Arial" w:eastAsia="DengXian" w:hAnsi="Arial" w:cs="Arial"/>
          <w:szCs w:val="20"/>
          <w:lang w:eastAsia="ko-KR"/>
        </w:rPr>
        <w:fldChar w:fldCharType="begin"/>
      </w:r>
      <w:r w:rsidR="00EC74AE" w:rsidRPr="005C5033">
        <w:rPr>
          <w:rFonts w:ascii="Arial" w:eastAsia="DengXian" w:hAnsi="Arial" w:cs="Arial"/>
          <w:szCs w:val="20"/>
          <w:lang w:eastAsia="ko-KR"/>
        </w:rPr>
        <w:instrText xml:space="preserve"> REF _Ref61624213 \h  \* MERGEFORMAT </w:instrText>
      </w:r>
      <w:r w:rsidR="00EC74AE" w:rsidRPr="005C5033">
        <w:rPr>
          <w:rFonts w:ascii="Arial" w:eastAsia="DengXian" w:hAnsi="Arial" w:cs="Arial"/>
          <w:szCs w:val="20"/>
          <w:lang w:eastAsia="ko-KR"/>
        </w:rPr>
      </w:r>
      <w:r w:rsidR="00EC74AE" w:rsidRPr="005C5033">
        <w:rPr>
          <w:rFonts w:ascii="Arial" w:eastAsia="DengXian" w:hAnsi="Arial" w:cs="Arial"/>
          <w:szCs w:val="20"/>
          <w:lang w:eastAsia="ko-KR"/>
        </w:rPr>
        <w:fldChar w:fldCharType="separate"/>
      </w:r>
      <w:r w:rsidR="00EC74AE" w:rsidRPr="00B04B4C">
        <w:rPr>
          <w:rFonts w:ascii="Arial" w:eastAsia="DengXian" w:hAnsi="Arial" w:cs="Arial"/>
          <w:szCs w:val="20"/>
          <w:lang w:eastAsia="ko-KR"/>
        </w:rPr>
        <w:t>Table 2</w:t>
      </w:r>
      <w:r w:rsidR="00EC74AE" w:rsidRPr="005C5033">
        <w:rPr>
          <w:rFonts w:ascii="Arial" w:eastAsia="DengXian" w:hAnsi="Arial" w:cs="Arial"/>
          <w:szCs w:val="20"/>
          <w:lang w:eastAsia="ko-KR"/>
        </w:rPr>
        <w:fldChar w:fldCharType="end"/>
      </w:r>
      <w:r w:rsidR="00645C26" w:rsidRPr="005C5033">
        <w:rPr>
          <w:rFonts w:ascii="Arial" w:eastAsia="DengXian" w:hAnsi="Arial" w:cs="Arial"/>
          <w:szCs w:val="20"/>
          <w:lang w:eastAsia="ko-KR"/>
        </w:rPr>
        <w:t xml:space="preserve">). </w:t>
      </w:r>
      <w:r w:rsidR="009326CE" w:rsidRPr="005C5033">
        <w:rPr>
          <w:rFonts w:ascii="Arial" w:eastAsia="DengXian" w:hAnsi="Arial" w:cs="Arial"/>
          <w:szCs w:val="20"/>
          <w:lang w:eastAsia="ko-KR"/>
        </w:rPr>
        <w:t xml:space="preserve">When </w:t>
      </w:r>
      <w:r w:rsidR="00645C26" w:rsidRPr="005C5033">
        <w:rPr>
          <w:rFonts w:ascii="Arial" w:eastAsia="DengXian" w:hAnsi="Arial" w:cs="Arial"/>
          <w:szCs w:val="20"/>
          <w:lang w:eastAsia="ko-KR"/>
        </w:rPr>
        <w:t>“Number of PRACH slots within a 60 kHz slot” equals 2</w:t>
      </w:r>
      <w:r w:rsidR="009326CE" w:rsidRPr="005C5033">
        <w:rPr>
          <w:rFonts w:ascii="Arial" w:eastAsia="DengXian" w:hAnsi="Arial" w:cs="Arial"/>
          <w:szCs w:val="20"/>
          <w:lang w:eastAsia="ko-KR"/>
        </w:rPr>
        <w:t xml:space="preserve">, </w:t>
      </w:r>
      <w:r w:rsidR="009E140D" w:rsidRPr="005C5033">
        <w:rPr>
          <w:rFonts w:ascii="Arial" w:eastAsia="DengXian" w:hAnsi="Arial" w:cs="Arial"/>
          <w:szCs w:val="20"/>
          <w:lang w:eastAsia="ko-KR"/>
        </w:rPr>
        <w:t xml:space="preserve">a key </w:t>
      </w:r>
      <w:r w:rsidR="00267202" w:rsidRPr="005C5033">
        <w:rPr>
          <w:rFonts w:ascii="Arial" w:eastAsia="DengXian" w:hAnsi="Arial" w:cs="Arial"/>
          <w:szCs w:val="20"/>
          <w:lang w:eastAsia="ko-KR"/>
        </w:rPr>
        <w:t>design aspect</w:t>
      </w:r>
      <w:r w:rsidR="009E140D" w:rsidRPr="005C5033">
        <w:rPr>
          <w:rFonts w:ascii="Arial" w:eastAsia="DengXian" w:hAnsi="Arial" w:cs="Arial"/>
          <w:szCs w:val="20"/>
          <w:lang w:eastAsia="ko-KR"/>
        </w:rPr>
        <w:t xml:space="preserve"> is</w:t>
      </w:r>
      <w:r w:rsidR="009326CE" w:rsidRPr="005C5033">
        <w:rPr>
          <w:rFonts w:ascii="Arial" w:eastAsia="DengXian" w:hAnsi="Arial" w:cs="Arial"/>
          <w:szCs w:val="20"/>
          <w:lang w:eastAsia="ko-KR"/>
        </w:rPr>
        <w:t xml:space="preserve"> to ensure that the PRACH slots are sufficiently spread in time to avoid peaks in processing load. Possible rules </w:t>
      </w:r>
      <w:r w:rsidR="0074566A" w:rsidRPr="005C5033">
        <w:rPr>
          <w:rFonts w:ascii="Arial" w:eastAsia="DengXian" w:hAnsi="Arial" w:cs="Arial"/>
          <w:szCs w:val="20"/>
          <w:lang w:eastAsia="ko-KR"/>
        </w:rPr>
        <w:t>fulfilling</w:t>
      </w:r>
      <w:r w:rsidR="009326CE" w:rsidRPr="005C5033">
        <w:rPr>
          <w:rFonts w:ascii="Arial" w:eastAsia="DengXian" w:hAnsi="Arial" w:cs="Arial"/>
          <w:szCs w:val="20"/>
          <w:lang w:eastAsia="ko-KR"/>
        </w:rPr>
        <w:t xml:space="preserve"> this</w:t>
      </w:r>
      <w:r w:rsidR="00645C26" w:rsidRPr="005C5033">
        <w:rPr>
          <w:rFonts w:ascii="Arial" w:eastAsia="DengXian" w:hAnsi="Arial" w:cs="Arial"/>
          <w:szCs w:val="20"/>
          <w:lang w:eastAsia="ko-KR"/>
        </w:rPr>
        <w:t xml:space="preserve"> </w:t>
      </w:r>
      <w:r w:rsidR="009326CE" w:rsidRPr="005C5033">
        <w:rPr>
          <w:rFonts w:ascii="Arial" w:eastAsia="DengXian" w:hAnsi="Arial" w:cs="Arial"/>
          <w:szCs w:val="20"/>
          <w:lang w:eastAsia="ko-KR"/>
        </w:rPr>
        <w:t xml:space="preserve">requirement </w:t>
      </w:r>
      <w:r w:rsidR="00AC68B3" w:rsidRPr="005C5033">
        <w:rPr>
          <w:rFonts w:ascii="Arial" w:eastAsia="DengXian" w:hAnsi="Arial" w:cs="Arial"/>
          <w:szCs w:val="20"/>
          <w:lang w:eastAsia="ko-KR"/>
        </w:rPr>
        <w:t>are</w:t>
      </w:r>
      <w:r w:rsidR="00645C26" w:rsidRPr="005C5033">
        <w:rPr>
          <w:rFonts w:ascii="Arial" w:eastAsia="DengXian" w:hAnsi="Arial" w:cs="Arial"/>
          <w:szCs w:val="20"/>
          <w:lang w:eastAsia="ko-KR"/>
        </w:rPr>
        <w:t xml:space="preserve"> </w:t>
      </w:r>
      <w:r w:rsidR="00AC68B3" w:rsidRPr="005C5033">
        <w:rPr>
          <w:rFonts w:ascii="Arial" w:eastAsia="DengXian" w:hAnsi="Arial" w:cs="Arial"/>
          <w:szCs w:val="20"/>
          <w:lang w:eastAsia="ko-KR"/>
        </w:rPr>
        <w:t>illustrated</w:t>
      </w:r>
      <w:r w:rsidR="00EC74AE" w:rsidRPr="005C5033">
        <w:rPr>
          <w:rFonts w:ascii="Arial" w:eastAsia="DengXian" w:hAnsi="Arial" w:cs="Arial"/>
          <w:szCs w:val="20"/>
          <w:lang w:eastAsia="ko-KR"/>
        </w:rPr>
        <w:t xml:space="preserve"> in </w:t>
      </w:r>
      <w:r w:rsidR="00B04B4C">
        <w:rPr>
          <w:rFonts w:ascii="Arial" w:eastAsia="DengXian" w:hAnsi="Arial" w:cs="Arial"/>
          <w:szCs w:val="20"/>
          <w:lang w:eastAsia="ko-KR"/>
        </w:rPr>
        <w:fldChar w:fldCharType="begin"/>
      </w:r>
      <w:r w:rsidR="00B04B4C">
        <w:rPr>
          <w:rFonts w:ascii="Arial" w:eastAsia="DengXian" w:hAnsi="Arial" w:cs="Arial"/>
          <w:szCs w:val="20"/>
          <w:lang w:eastAsia="ko-KR"/>
        </w:rPr>
        <w:instrText xml:space="preserve"> REF _Ref61858690 \h  \* MERGEFORMAT </w:instrText>
      </w:r>
      <w:r w:rsidR="00B04B4C">
        <w:rPr>
          <w:rFonts w:ascii="Arial" w:eastAsia="DengXian" w:hAnsi="Arial" w:cs="Arial"/>
          <w:szCs w:val="20"/>
          <w:lang w:eastAsia="ko-KR"/>
        </w:rPr>
      </w:r>
      <w:r w:rsidR="00B04B4C">
        <w:rPr>
          <w:rFonts w:ascii="Arial" w:eastAsia="DengXian" w:hAnsi="Arial" w:cs="Arial"/>
          <w:szCs w:val="20"/>
          <w:lang w:eastAsia="ko-KR"/>
        </w:rPr>
        <w:fldChar w:fldCharType="separate"/>
      </w:r>
      <w:r w:rsidR="00B04B4C" w:rsidRPr="00B04B4C">
        <w:rPr>
          <w:rFonts w:ascii="Arial" w:eastAsia="DengXian" w:hAnsi="Arial" w:cs="Arial"/>
          <w:szCs w:val="20"/>
          <w:lang w:eastAsia="ko-KR"/>
        </w:rPr>
        <w:t>Figure 7</w:t>
      </w:r>
      <w:r w:rsidR="00B04B4C">
        <w:rPr>
          <w:rFonts w:ascii="Arial" w:eastAsia="DengXian" w:hAnsi="Arial" w:cs="Arial"/>
          <w:szCs w:val="20"/>
          <w:lang w:eastAsia="ko-KR"/>
        </w:rPr>
        <w:fldChar w:fldCharType="end"/>
      </w:r>
      <w:r w:rsidR="00645C26" w:rsidRPr="005C5033">
        <w:rPr>
          <w:rFonts w:ascii="Arial" w:eastAsia="DengXian" w:hAnsi="Arial" w:cs="Arial"/>
          <w:szCs w:val="20"/>
          <w:lang w:eastAsia="ko-KR"/>
        </w:rPr>
        <w:t>.</w:t>
      </w:r>
      <w:r w:rsidR="00587BA3">
        <w:rPr>
          <w:rFonts w:ascii="Arial" w:eastAsia="DengXian" w:hAnsi="Arial" w:cs="Arial"/>
          <w:szCs w:val="20"/>
          <w:lang w:eastAsia="ko-KR"/>
        </w:rPr>
        <w:t xml:space="preserve"> The </w:t>
      </w:r>
      <w:r w:rsidR="00864895">
        <w:rPr>
          <w:rFonts w:ascii="Arial" w:eastAsia="DengXian" w:hAnsi="Arial" w:cs="Arial"/>
          <w:szCs w:val="20"/>
          <w:lang w:eastAsia="ko-KR"/>
        </w:rPr>
        <w:t>example</w:t>
      </w:r>
      <w:r w:rsidR="00587BA3">
        <w:rPr>
          <w:rFonts w:ascii="Arial" w:eastAsia="DengXian" w:hAnsi="Arial" w:cs="Arial"/>
          <w:szCs w:val="20"/>
          <w:lang w:eastAsia="ko-KR"/>
        </w:rPr>
        <w:t xml:space="preserve"> rules illustrated in </w:t>
      </w:r>
      <w:r w:rsidR="00B04B4C">
        <w:rPr>
          <w:rFonts w:ascii="Arial" w:eastAsia="DengXian" w:hAnsi="Arial" w:cs="Arial"/>
          <w:szCs w:val="20"/>
          <w:lang w:eastAsia="ko-KR"/>
        </w:rPr>
        <w:fldChar w:fldCharType="begin"/>
      </w:r>
      <w:r w:rsidR="00B04B4C">
        <w:rPr>
          <w:rFonts w:ascii="Arial" w:eastAsia="DengXian" w:hAnsi="Arial" w:cs="Arial"/>
          <w:szCs w:val="20"/>
          <w:lang w:eastAsia="ko-KR"/>
        </w:rPr>
        <w:instrText xml:space="preserve"> REF _Ref61858673 \h  \* MERGEFORMAT </w:instrText>
      </w:r>
      <w:r w:rsidR="00B04B4C">
        <w:rPr>
          <w:rFonts w:ascii="Arial" w:eastAsia="DengXian" w:hAnsi="Arial" w:cs="Arial"/>
          <w:szCs w:val="20"/>
          <w:lang w:eastAsia="ko-KR"/>
        </w:rPr>
      </w:r>
      <w:r w:rsidR="00B04B4C">
        <w:rPr>
          <w:rFonts w:ascii="Arial" w:eastAsia="DengXian" w:hAnsi="Arial" w:cs="Arial"/>
          <w:szCs w:val="20"/>
          <w:lang w:eastAsia="ko-KR"/>
        </w:rPr>
        <w:fldChar w:fldCharType="separate"/>
      </w:r>
      <w:r w:rsidR="00B04B4C" w:rsidRPr="00B04B4C">
        <w:rPr>
          <w:rFonts w:ascii="Arial" w:eastAsia="DengXian" w:hAnsi="Arial" w:cs="Arial"/>
          <w:szCs w:val="20"/>
          <w:lang w:eastAsia="ko-KR"/>
        </w:rPr>
        <w:t>Figure 6</w:t>
      </w:r>
      <w:r w:rsidR="00B04B4C">
        <w:rPr>
          <w:rFonts w:ascii="Arial" w:eastAsia="DengXian" w:hAnsi="Arial" w:cs="Arial"/>
          <w:szCs w:val="20"/>
          <w:lang w:eastAsia="ko-KR"/>
        </w:rPr>
        <w:fldChar w:fldCharType="end"/>
      </w:r>
      <w:r w:rsidR="00587BA3">
        <w:rPr>
          <w:rFonts w:ascii="Arial" w:eastAsia="DengXian" w:hAnsi="Arial" w:cs="Arial"/>
          <w:szCs w:val="20"/>
          <w:lang w:eastAsia="ko-KR"/>
        </w:rPr>
        <w:t xml:space="preserve"> and </w:t>
      </w:r>
      <w:r w:rsidR="00B04B4C">
        <w:rPr>
          <w:rFonts w:ascii="Arial" w:eastAsia="DengXian" w:hAnsi="Arial" w:cs="Arial"/>
          <w:szCs w:val="20"/>
          <w:lang w:eastAsia="ko-KR"/>
        </w:rPr>
        <w:fldChar w:fldCharType="begin"/>
      </w:r>
      <w:r w:rsidR="00B04B4C">
        <w:rPr>
          <w:rFonts w:ascii="Arial" w:eastAsia="DengXian" w:hAnsi="Arial" w:cs="Arial"/>
          <w:szCs w:val="20"/>
          <w:lang w:eastAsia="ko-KR"/>
        </w:rPr>
        <w:instrText xml:space="preserve"> REF _Ref61858690 \h  \* MERGEFORMAT </w:instrText>
      </w:r>
      <w:r w:rsidR="00B04B4C">
        <w:rPr>
          <w:rFonts w:ascii="Arial" w:eastAsia="DengXian" w:hAnsi="Arial" w:cs="Arial"/>
          <w:szCs w:val="20"/>
          <w:lang w:eastAsia="ko-KR"/>
        </w:rPr>
      </w:r>
      <w:r w:rsidR="00B04B4C">
        <w:rPr>
          <w:rFonts w:ascii="Arial" w:eastAsia="DengXian" w:hAnsi="Arial" w:cs="Arial"/>
          <w:szCs w:val="20"/>
          <w:lang w:eastAsia="ko-KR"/>
        </w:rPr>
        <w:fldChar w:fldCharType="separate"/>
      </w:r>
      <w:r w:rsidR="00B04B4C" w:rsidRPr="00B04B4C">
        <w:rPr>
          <w:rFonts w:ascii="Arial" w:eastAsia="DengXian" w:hAnsi="Arial" w:cs="Arial"/>
          <w:szCs w:val="20"/>
          <w:lang w:eastAsia="ko-KR"/>
        </w:rPr>
        <w:t>Figure 7</w:t>
      </w:r>
      <w:r w:rsidR="00B04B4C">
        <w:rPr>
          <w:rFonts w:ascii="Arial" w:eastAsia="DengXian" w:hAnsi="Arial" w:cs="Arial"/>
          <w:szCs w:val="20"/>
          <w:lang w:eastAsia="ko-KR"/>
        </w:rPr>
        <w:fldChar w:fldCharType="end"/>
      </w:r>
      <w:r w:rsidR="00587BA3">
        <w:rPr>
          <w:rFonts w:ascii="Arial" w:eastAsia="DengXian" w:hAnsi="Arial" w:cs="Arial"/>
          <w:szCs w:val="20"/>
          <w:lang w:eastAsia="ko-KR"/>
        </w:rPr>
        <w:t xml:space="preserve"> can be </w:t>
      </w:r>
      <w:r w:rsidR="00F638C4">
        <w:rPr>
          <w:rFonts w:ascii="Arial" w:eastAsia="DengXian" w:hAnsi="Arial" w:cs="Arial"/>
          <w:szCs w:val="20"/>
          <w:lang w:eastAsia="ko-KR"/>
        </w:rPr>
        <w:t>included in 38.211</w:t>
      </w:r>
      <w:r w:rsidR="00587BA3">
        <w:rPr>
          <w:rFonts w:ascii="Arial" w:eastAsia="DengXian" w:hAnsi="Arial" w:cs="Arial"/>
          <w:szCs w:val="20"/>
          <w:lang w:eastAsia="ko-KR"/>
        </w:rPr>
        <w:t xml:space="preserve"> by adding the following</w:t>
      </w:r>
      <w:r w:rsidR="00B04B4C">
        <w:rPr>
          <w:rFonts w:ascii="Arial" w:eastAsia="DengXian" w:hAnsi="Arial" w:cs="Arial"/>
          <w:szCs w:val="20"/>
          <w:lang w:eastAsia="ko-KR"/>
        </w:rPr>
        <w:t xml:space="preserve"> to the above bullets</w:t>
      </w:r>
      <w:r w:rsidR="00587BA3">
        <w:rPr>
          <w:rFonts w:ascii="Arial" w:eastAsia="DengXian" w:hAnsi="Arial" w:cs="Arial"/>
          <w:szCs w:val="20"/>
          <w:lang w:eastAsia="ko-KR"/>
        </w:rPr>
        <w:t>:</w:t>
      </w:r>
    </w:p>
    <w:p w14:paraId="29138515" w14:textId="77777777" w:rsidR="00B04B4C" w:rsidRDefault="00B04B4C" w:rsidP="00FD1284">
      <w:pPr>
        <w:pStyle w:val="B1"/>
        <w:spacing w:after="0"/>
        <w:ind w:left="0" w:firstLine="0"/>
        <w:rPr>
          <w:rFonts w:ascii="Arial" w:eastAsia="DengXian" w:hAnsi="Arial" w:cs="Arial"/>
          <w:szCs w:val="20"/>
          <w:lang w:eastAsia="ko-KR"/>
        </w:rPr>
      </w:pPr>
    </w:p>
    <w:p w14:paraId="3774F560" w14:textId="77777777" w:rsidR="00864895" w:rsidRDefault="00864895" w:rsidP="00864895">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RA</m:t>
            </m:r>
          </m:sub>
        </m:sSub>
        <m:r>
          <w:rPr>
            <w:rFonts w:ascii="Cambria Math" w:eastAsiaTheme="minorEastAsia" w:hAnsi="Cambria Math"/>
          </w:rPr>
          <m:t xml:space="preserve">=480 </m:t>
        </m:r>
        <m:r>
          <m:rPr>
            <m:sty m:val="p"/>
          </m:rPr>
          <w:rPr>
            <w:rFonts w:ascii="Cambria Math" w:eastAsiaTheme="minorEastAsia" w:hAnsi="Cambria Math"/>
          </w:rPr>
          <m:t>kHz</m:t>
        </m:r>
      </m:oMath>
      <w:r>
        <w:rPr>
          <w:rFonts w:eastAsiaTheme="minorEastAsia"/>
        </w:rPr>
        <w:t xml:space="preserve"> </w:t>
      </w:r>
      <w:r>
        <w:t xml:space="preserve">then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eastAsiaTheme="minorEastAsia" w:hAnsi="Cambria Math"/>
            <w:szCs w:val="20"/>
          </w:rPr>
          <m:t>=7</m:t>
        </m:r>
      </m:oMath>
      <w:r w:rsidRPr="000B428E">
        <w:rPr>
          <w:szCs w:val="20"/>
        </w:rPr>
        <w:t xml:space="preserve"> </w:t>
      </w:r>
      <w:r w:rsidRPr="00CA4EC7">
        <w:rPr>
          <w:szCs w:val="20"/>
        </w:rPr>
        <w:t xml:space="preserve">if </w:t>
      </w:r>
      <w:r w:rsidRPr="002F789E">
        <w:rPr>
          <w:szCs w:val="20"/>
        </w:rPr>
        <w:t>"</w:t>
      </w:r>
      <w:r w:rsidRPr="0084318F">
        <w:rPr>
          <w:szCs w:val="20"/>
        </w:rPr>
        <w:t>N</w:t>
      </w:r>
      <w:r w:rsidRPr="00184903">
        <w:t>umber of PRACH slots within a 60 kHz slot</w:t>
      </w:r>
      <w:r>
        <w:t>"</w:t>
      </w:r>
      <w:r w:rsidRPr="00184903">
        <w:t xml:space="preserve"> in Table 6.3.3.2-4 is equal to 1, </w:t>
      </w:r>
      <w:r>
        <w:t xml:space="preserve">and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eastAsiaTheme="minorEastAsia" w:hAnsi="Cambria Math"/>
            <w:szCs w:val="20"/>
          </w:rPr>
          <m:t>={3,7}</m:t>
        </m:r>
      </m:oMath>
      <w:r w:rsidRPr="000B428E">
        <w:rPr>
          <w:szCs w:val="20"/>
        </w:rPr>
        <w:t xml:space="preserve"> </w:t>
      </w:r>
      <w:r w:rsidRPr="00CA4EC7">
        <w:rPr>
          <w:szCs w:val="20"/>
        </w:rPr>
        <w:t>if "</w:t>
      </w:r>
      <w:r w:rsidRPr="00184903">
        <w:t>Number of PRACH slots within a 60 kHz slot</w:t>
      </w:r>
      <w:r>
        <w:t>"</w:t>
      </w:r>
      <w:r w:rsidR="005E44F4" w:rsidRPr="005E44F4">
        <w:t xml:space="preserve"> </w:t>
      </w:r>
      <w:r w:rsidR="005E44F4" w:rsidRPr="00184903">
        <w:t>in Table 6.3.3.2-4</w:t>
      </w:r>
      <w:r>
        <w:t xml:space="preserve"> is equal to 2.</w:t>
      </w:r>
    </w:p>
    <w:p w14:paraId="1CF63E3E" w14:textId="77777777" w:rsidR="00587BA3" w:rsidRPr="005C5033" w:rsidRDefault="00864895" w:rsidP="005C5033">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RA</m:t>
            </m:r>
          </m:sub>
        </m:sSub>
        <m:r>
          <w:rPr>
            <w:rFonts w:ascii="Cambria Math" w:eastAsiaTheme="minorEastAsia" w:hAnsi="Cambria Math"/>
          </w:rPr>
          <m:t xml:space="preserve">=960 </m:t>
        </m:r>
        <m:r>
          <m:rPr>
            <m:sty m:val="p"/>
          </m:rPr>
          <w:rPr>
            <w:rFonts w:ascii="Cambria Math" w:eastAsiaTheme="minorEastAsia" w:hAnsi="Cambria Math"/>
          </w:rPr>
          <m:t>kHz</m:t>
        </m:r>
      </m:oMath>
      <w:r>
        <w:rPr>
          <w:rFonts w:eastAsiaTheme="minorEastAsia"/>
        </w:rPr>
        <w:t xml:space="preserve"> </w:t>
      </w:r>
      <w:r>
        <w:t xml:space="preserve">then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eastAsiaTheme="minorEastAsia" w:hAnsi="Cambria Math"/>
            <w:szCs w:val="20"/>
          </w:rPr>
          <m:t>=15</m:t>
        </m:r>
      </m:oMath>
      <w:r w:rsidRPr="000B428E">
        <w:rPr>
          <w:szCs w:val="20"/>
        </w:rPr>
        <w:t xml:space="preserve"> </w:t>
      </w:r>
      <w:r w:rsidRPr="00CA4EC7">
        <w:rPr>
          <w:szCs w:val="20"/>
        </w:rPr>
        <w:t>if "</w:t>
      </w:r>
      <w:r w:rsidRPr="002F789E">
        <w:rPr>
          <w:szCs w:val="20"/>
        </w:rPr>
        <w:t>N</w:t>
      </w:r>
      <w:r w:rsidRPr="0084318F">
        <w:rPr>
          <w:szCs w:val="20"/>
        </w:rPr>
        <w:t>um</w:t>
      </w:r>
      <w:r w:rsidRPr="00184903">
        <w:t>ber of PRACH slots within a 60 kHz slot</w:t>
      </w:r>
      <w:r>
        <w:t>"</w:t>
      </w:r>
      <w:r w:rsidRPr="00184903">
        <w:t xml:space="preserve"> in Table 6.3.3.2-4 is equal to 1, </w:t>
      </w:r>
      <w:r>
        <w:t xml:space="preserve">and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eastAsiaTheme="minorEastAsia" w:hAnsi="Cambria Math"/>
            <w:szCs w:val="20"/>
          </w:rPr>
          <m:t>={7,15}</m:t>
        </m:r>
      </m:oMath>
      <w:r w:rsidRPr="000B428E">
        <w:rPr>
          <w:szCs w:val="20"/>
        </w:rPr>
        <w:t xml:space="preserve"> </w:t>
      </w:r>
      <w:r w:rsidRPr="00CA4EC7">
        <w:rPr>
          <w:szCs w:val="20"/>
        </w:rPr>
        <w:t>if "</w:t>
      </w:r>
      <w:r w:rsidRPr="002F789E">
        <w:rPr>
          <w:szCs w:val="20"/>
        </w:rPr>
        <w:t>Number</w:t>
      </w:r>
      <w:r w:rsidRPr="0084318F">
        <w:rPr>
          <w:szCs w:val="20"/>
        </w:rPr>
        <w:t xml:space="preserve"> </w:t>
      </w:r>
      <w:r w:rsidRPr="00184903">
        <w:t>of PRACH slots within a 60 kHz slot</w:t>
      </w:r>
      <w:r>
        <w:t>"</w:t>
      </w:r>
      <w:r w:rsidR="005E44F4">
        <w:t xml:space="preserve"> </w:t>
      </w:r>
      <w:r w:rsidR="005E44F4" w:rsidRPr="00184903">
        <w:t>in Table 6.3.3.2-4</w:t>
      </w:r>
      <w:r>
        <w:t xml:space="preserve"> is equal to 2.</w:t>
      </w:r>
    </w:p>
    <w:p w14:paraId="013101CC" w14:textId="77777777" w:rsidR="00863555" w:rsidRDefault="00863555" w:rsidP="00FD1284">
      <w:pPr>
        <w:pStyle w:val="B1"/>
        <w:spacing w:after="0"/>
        <w:ind w:left="0" w:firstLine="0"/>
        <w:rPr>
          <w:rFonts w:ascii="Arial" w:eastAsia="DengXian" w:hAnsi="Arial" w:cs="Arial"/>
          <w:szCs w:val="20"/>
          <w:lang w:eastAsia="ko-KR"/>
        </w:rPr>
      </w:pPr>
    </w:p>
    <w:p w14:paraId="4AEBCD25" w14:textId="77777777" w:rsidR="00A165D9" w:rsidRDefault="00A165D9" w:rsidP="00A165D9">
      <w:pPr>
        <w:pStyle w:val="TF"/>
        <w:jc w:val="both"/>
        <w:rPr>
          <w:lang w:val="en-US"/>
        </w:rPr>
      </w:pPr>
      <w:r w:rsidRPr="00206E91">
        <w:rPr>
          <w:noProof/>
          <w:lang w:val="en-US"/>
        </w:rPr>
        <w:drawing>
          <wp:inline distT="0" distB="0" distL="0" distR="0" wp14:anchorId="7A719F90" wp14:editId="74035770">
            <wp:extent cx="6759581" cy="1797685"/>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781245" cy="1803446"/>
                    </a:xfrm>
                    <a:prstGeom prst="rect">
                      <a:avLst/>
                    </a:prstGeom>
                    <a:noFill/>
                  </pic:spPr>
                </pic:pic>
              </a:graphicData>
            </a:graphic>
          </wp:inline>
        </w:drawing>
      </w:r>
    </w:p>
    <w:p w14:paraId="5329E9AB" w14:textId="77777777" w:rsidR="00A165D9" w:rsidRDefault="00A165D9" w:rsidP="00A165D9">
      <w:pPr>
        <w:pStyle w:val="TF"/>
        <w:jc w:val="both"/>
        <w:rPr>
          <w:rFonts w:cs="Arial"/>
          <w:highlight w:val="yellow"/>
        </w:rPr>
      </w:pPr>
      <w:bookmarkStart w:id="37" w:name="_Ref61858673"/>
      <w:r>
        <w:rPr>
          <w:lang w:val="en-US"/>
        </w:rPr>
        <w:t xml:space="preserve">Figure </w:t>
      </w:r>
      <w:r w:rsidRPr="00206E91">
        <w:fldChar w:fldCharType="begin"/>
      </w:r>
      <w:r>
        <w:instrText xml:space="preserve"> SEQ Figure \* ARABIC </w:instrText>
      </w:r>
      <w:r w:rsidRPr="00206E91">
        <w:fldChar w:fldCharType="separate"/>
      </w:r>
      <w:r>
        <w:rPr>
          <w:noProof/>
        </w:rPr>
        <w:t>6</w:t>
      </w:r>
      <w:r w:rsidRPr="00206E91">
        <w:fldChar w:fldCharType="end"/>
      </w:r>
      <w:bookmarkEnd w:id="37"/>
      <w:r>
        <w:rPr>
          <w:lang w:val="en-US"/>
        </w:rPr>
        <w:t xml:space="preserve">: Illustration of possible rules for which slots within a 60 kHz slot to use for PRACH when </w:t>
      </w:r>
      <w:r w:rsidRPr="00206E91">
        <w:rPr>
          <w:rFonts w:eastAsia="DengXian" w:cs="Arial"/>
          <w:szCs w:val="20"/>
          <w:lang w:eastAsia="ko-KR"/>
        </w:rPr>
        <w:t>“Number of PRACH slots within a 60</w:t>
      </w:r>
      <w:r w:rsidRPr="00206E91">
        <w:rPr>
          <w:rFonts w:eastAsia="DengXian" w:cs="Arial"/>
          <w:szCs w:val="20"/>
          <w:lang w:val="en-US" w:eastAsia="ko-KR"/>
        </w:rPr>
        <w:t> </w:t>
      </w:r>
      <w:r w:rsidRPr="00206E91">
        <w:rPr>
          <w:rFonts w:eastAsia="DengXian" w:cs="Arial"/>
          <w:szCs w:val="20"/>
          <w:lang w:eastAsia="ko-KR"/>
        </w:rPr>
        <w:t>kHz slot</w:t>
      </w:r>
      <w:r w:rsidRPr="005C5033">
        <w:rPr>
          <w:rFonts w:eastAsia="DengXian" w:cs="Arial"/>
          <w:szCs w:val="20"/>
          <w:lang w:eastAsia="ko-KR"/>
        </w:rPr>
        <w:t>”</w:t>
      </w:r>
      <w:r w:rsidRPr="005C5033">
        <w:rPr>
          <w:rFonts w:eastAsia="DengXian" w:cs="Arial"/>
          <w:szCs w:val="20"/>
          <w:lang w:val="en-US" w:eastAsia="ko-KR"/>
        </w:rPr>
        <w:t xml:space="preserve"> equals 1</w:t>
      </w:r>
      <w:r w:rsidRPr="005C5033">
        <w:rPr>
          <w:lang w:val="en-US"/>
        </w:rPr>
        <w:t>.</w:t>
      </w:r>
    </w:p>
    <w:p w14:paraId="09F62E2D" w14:textId="77777777" w:rsidR="00A165D9" w:rsidRPr="00206E91" w:rsidRDefault="00A165D9" w:rsidP="00A165D9">
      <w:pPr>
        <w:pStyle w:val="B1"/>
        <w:spacing w:after="0"/>
        <w:ind w:left="0" w:firstLine="0"/>
        <w:rPr>
          <w:rFonts w:ascii="Arial" w:eastAsia="DengXian" w:hAnsi="Arial" w:cs="Arial"/>
          <w:szCs w:val="20"/>
          <w:lang w:eastAsia="ko-KR"/>
        </w:rPr>
      </w:pPr>
    </w:p>
    <w:p w14:paraId="44561AC9" w14:textId="77777777" w:rsidR="00A165D9" w:rsidRPr="00206E91" w:rsidRDefault="00A165D9" w:rsidP="00A165D9">
      <w:pPr>
        <w:pStyle w:val="B1"/>
        <w:spacing w:after="0"/>
        <w:ind w:left="0" w:firstLine="0"/>
        <w:rPr>
          <w:rFonts w:ascii="Arial" w:eastAsia="DengXian" w:hAnsi="Arial" w:cs="Arial"/>
          <w:szCs w:val="20"/>
          <w:lang w:eastAsia="ko-KR"/>
        </w:rPr>
      </w:pPr>
      <w:r w:rsidRPr="00206E91">
        <w:rPr>
          <w:rFonts w:ascii="Arial" w:eastAsia="DengXian" w:hAnsi="Arial" w:cs="Arial"/>
          <w:noProof/>
          <w:szCs w:val="20"/>
          <w:lang w:eastAsia="ko-KR"/>
        </w:rPr>
        <w:drawing>
          <wp:inline distT="0" distB="0" distL="0" distR="0" wp14:anchorId="3F3E54E8" wp14:editId="554C0D70">
            <wp:extent cx="5541216" cy="821690"/>
            <wp:effectExtent l="0" t="0" r="2540" b="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65214" cy="825249"/>
                    </a:xfrm>
                    <a:prstGeom prst="rect">
                      <a:avLst/>
                    </a:prstGeom>
                    <a:noFill/>
                  </pic:spPr>
                </pic:pic>
              </a:graphicData>
            </a:graphic>
          </wp:inline>
        </w:drawing>
      </w:r>
    </w:p>
    <w:p w14:paraId="364E71D4" w14:textId="77777777" w:rsidR="00A165D9" w:rsidRDefault="00A165D9" w:rsidP="00A165D9">
      <w:pPr>
        <w:pStyle w:val="TF"/>
        <w:jc w:val="both"/>
        <w:rPr>
          <w:rFonts w:cs="Arial"/>
          <w:highlight w:val="yellow"/>
        </w:rPr>
      </w:pPr>
      <w:bookmarkStart w:id="38" w:name="_Ref61858690"/>
      <w:r>
        <w:rPr>
          <w:lang w:val="en-US"/>
        </w:rPr>
        <w:t xml:space="preserve">Figure </w:t>
      </w:r>
      <w:r w:rsidRPr="00206E91">
        <w:fldChar w:fldCharType="begin"/>
      </w:r>
      <w:r>
        <w:instrText xml:space="preserve"> SEQ Figure \* ARABIC </w:instrText>
      </w:r>
      <w:r w:rsidRPr="00206E91">
        <w:fldChar w:fldCharType="separate"/>
      </w:r>
      <w:r>
        <w:rPr>
          <w:noProof/>
        </w:rPr>
        <w:t>7</w:t>
      </w:r>
      <w:r w:rsidRPr="00206E91">
        <w:fldChar w:fldCharType="end"/>
      </w:r>
      <w:bookmarkEnd w:id="38"/>
      <w:r>
        <w:rPr>
          <w:lang w:val="en-US"/>
        </w:rPr>
        <w:t xml:space="preserve">: Illustration of possible rules for which slots within a 60 kHz slot to use for PRACH when </w:t>
      </w:r>
      <w:r w:rsidRPr="00206E91">
        <w:rPr>
          <w:rFonts w:eastAsia="DengXian" w:cs="Arial"/>
          <w:szCs w:val="20"/>
          <w:lang w:eastAsia="ko-KR"/>
        </w:rPr>
        <w:t>“Number of PRACH slots within a 60</w:t>
      </w:r>
      <w:r w:rsidRPr="00206E91">
        <w:rPr>
          <w:rFonts w:eastAsia="DengXian" w:cs="Arial"/>
          <w:szCs w:val="20"/>
          <w:lang w:val="en-US" w:eastAsia="ko-KR"/>
        </w:rPr>
        <w:t> </w:t>
      </w:r>
      <w:r w:rsidRPr="00206E91">
        <w:rPr>
          <w:rFonts w:eastAsia="DengXian" w:cs="Arial"/>
          <w:szCs w:val="20"/>
          <w:lang w:eastAsia="ko-KR"/>
        </w:rPr>
        <w:t>kHz slot</w:t>
      </w:r>
      <w:r w:rsidRPr="005C5033">
        <w:rPr>
          <w:rFonts w:eastAsia="DengXian" w:cs="Arial"/>
          <w:szCs w:val="20"/>
          <w:lang w:eastAsia="ko-KR"/>
        </w:rPr>
        <w:t>”</w:t>
      </w:r>
      <w:r w:rsidRPr="005C5033">
        <w:rPr>
          <w:rFonts w:eastAsia="DengXian" w:cs="Arial"/>
          <w:szCs w:val="20"/>
          <w:lang w:val="en-US" w:eastAsia="ko-KR"/>
        </w:rPr>
        <w:t xml:space="preserve"> equals 2</w:t>
      </w:r>
      <w:r w:rsidRPr="005C5033">
        <w:rPr>
          <w:lang w:val="en-US"/>
        </w:rPr>
        <w:t>.</w:t>
      </w:r>
    </w:p>
    <w:p w14:paraId="123A49E7" w14:textId="77777777" w:rsidR="00E408EA" w:rsidRDefault="00E408EA" w:rsidP="00FD1284">
      <w:pPr>
        <w:pStyle w:val="B1"/>
        <w:spacing w:after="0"/>
        <w:ind w:left="0" w:firstLine="0"/>
        <w:rPr>
          <w:rFonts w:ascii="Arial" w:eastAsia="DengXian" w:hAnsi="Arial" w:cs="Arial"/>
          <w:szCs w:val="20"/>
          <w:lang w:eastAsia="ko-KR"/>
        </w:rPr>
      </w:pPr>
    </w:p>
    <w:p w14:paraId="096CDDE2" w14:textId="37F23C78" w:rsidR="00E408EA" w:rsidRPr="005C5033" w:rsidRDefault="009405B9" w:rsidP="00E408EA">
      <w:pPr>
        <w:rPr>
          <w:rFonts w:asciiTheme="minorHAnsi" w:hAnsiTheme="minorHAnsi"/>
        </w:rPr>
      </w:pPr>
      <w:r>
        <w:t xml:space="preserve">The location of </w:t>
      </w:r>
      <w:r w:rsidR="00E408EA">
        <w:t xml:space="preserve">PRACH occasions </w:t>
      </w:r>
      <w:r>
        <w:t xml:space="preserve">within </w:t>
      </w:r>
      <w:r w:rsidR="003D3974">
        <w:t xml:space="preserve">a 60 kHz reference </w:t>
      </w:r>
      <w:r>
        <w:t xml:space="preserve">slot </w:t>
      </w:r>
      <w:r w:rsidR="00E408EA">
        <w:t xml:space="preserve">is </w:t>
      </w:r>
      <w:r w:rsidR="00025A57">
        <w:t xml:space="preserve">then </w:t>
      </w:r>
      <w:r w:rsidR="00E408EA">
        <w:t xml:space="preserve">determined in Section 5.3.2 of 38.211 </w:t>
      </w:r>
      <w:r w:rsidR="00605CB2">
        <w:t>as follows</w:t>
      </w:r>
      <w:r w:rsidR="003D3974">
        <w:t>:</w:t>
      </w:r>
    </w:p>
    <w:p w14:paraId="0D4A5089" w14:textId="7CCEF5BB" w:rsidR="00E408EA" w:rsidRPr="00392A35" w:rsidRDefault="00E408EA" w:rsidP="005C5033">
      <w:pPr>
        <w:jc w:val="center"/>
      </w:pPr>
      <m:oMath>
        <m:r>
          <w:rPr>
            <w:rFonts w:ascii="Cambria Math" w:hAnsi="Cambria Math"/>
          </w:rPr>
          <m:t>l</m:t>
        </m:r>
        <m:r>
          <m:rPr>
            <m:sty m:val="p"/>
          </m:rPr>
          <w:rPr>
            <w:rFonts w:ascii="Cambria Math" w:hAnsi="Cambria Math"/>
          </w:rPr>
          <m:t>=</m:t>
        </m:r>
        <m:sSub>
          <m:sSubPr>
            <m:ctrlPr>
              <w:rPr>
                <w:rFonts w:ascii="Cambria Math" w:hAnsi="Cambria Math" w:cs="Calibri"/>
                <w:sz w:val="22"/>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sSubSup>
          <m:sSubSupPr>
            <m:ctrlPr>
              <w:rPr>
                <w:rFonts w:ascii="Cambria Math" w:hAnsi="Cambria Math" w:cs="Calibri"/>
                <w:sz w:val="22"/>
              </w:rPr>
            </m:ctrlPr>
          </m:sSubSupPr>
          <m:e>
            <m:r>
              <w:rPr>
                <w:rFonts w:ascii="Cambria Math" w:hAnsi="Cambria Math"/>
              </w:rPr>
              <m:t>n</m:t>
            </m:r>
          </m:e>
          <m:sub>
            <m:r>
              <w:rPr>
                <w:rFonts w:ascii="Cambria Math" w:hAnsi="Cambria Math"/>
              </w:rPr>
              <m:t>t</m:t>
            </m:r>
          </m:sub>
          <m:sup>
            <m:r>
              <m:rPr>
                <m:sty m:val="p"/>
              </m:rPr>
              <w:rPr>
                <w:rFonts w:ascii="Cambria Math" w:hAnsi="Cambria Math"/>
              </w:rPr>
              <m:t>RA</m:t>
            </m:r>
          </m:sup>
        </m:sSubSup>
        <m:sSubSup>
          <m:sSubSupPr>
            <m:ctrlPr>
              <w:rPr>
                <w:rFonts w:ascii="Cambria Math" w:hAnsi="Cambria Math" w:cs="Calibri"/>
                <w:sz w:val="22"/>
              </w:rPr>
            </m:ctrlPr>
          </m:sSubSupPr>
          <m:e>
            <m:r>
              <w:rPr>
                <w:rFonts w:ascii="Cambria Math" w:hAnsi="Cambria Math"/>
              </w:rPr>
              <m:t>N</m:t>
            </m:r>
          </m:e>
          <m:sub>
            <m:r>
              <m:rPr>
                <m:sty m:val="p"/>
              </m:rPr>
              <w:rPr>
                <w:rFonts w:ascii="Cambria Math" w:hAnsi="Cambria Math"/>
              </w:rPr>
              <m:t>dur</m:t>
            </m:r>
          </m:sub>
          <m:sup>
            <m:r>
              <m:rPr>
                <m:sty m:val="p"/>
              </m:rPr>
              <w:rPr>
                <w:rFonts w:ascii="Cambria Math" w:hAnsi="Cambria Math"/>
              </w:rPr>
              <m:t>RA</m:t>
            </m:r>
          </m:sup>
        </m:sSubSup>
        <m:r>
          <m:rPr>
            <m:sty m:val="p"/>
          </m:rPr>
          <w:rPr>
            <w:rFonts w:ascii="Cambria Math" w:hAnsi="Cambria Math"/>
          </w:rPr>
          <m:t>+14</m:t>
        </m:r>
        <m:sSubSup>
          <m:sSubSupPr>
            <m:ctrlPr>
              <w:rPr>
                <w:rFonts w:ascii="Cambria Math" w:hAnsi="Cambria Math" w:cs="Calibri"/>
                <w:sz w:val="22"/>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Pr>
          <w:rFonts w:eastAsiaTheme="minorEastAsia"/>
          <w:sz w:val="22"/>
        </w:rPr>
        <w:t>,</w:t>
      </w:r>
    </w:p>
    <w:p w14:paraId="238792A9" w14:textId="0FED397B" w:rsidR="00645C26" w:rsidRPr="005C5033" w:rsidRDefault="00F73329" w:rsidP="005C5033">
      <w:r>
        <w:t>w</w:t>
      </w:r>
      <w:r w:rsidR="00E408EA">
        <w:t>here</w:t>
      </w:r>
      <w:r w:rsidR="00144706">
        <w:t xml:space="preserve"> </w:t>
      </w:r>
      <m:oMath>
        <m:r>
          <w:rPr>
            <w:rFonts w:ascii="Cambria Math" w:hAnsi="Cambria Math"/>
          </w:rPr>
          <m:t>l</m:t>
        </m:r>
      </m:oMath>
      <w:r w:rsidR="00E408EA">
        <w:t xml:space="preserve"> </w:t>
      </w:r>
      <w:r w:rsidR="00144706">
        <w:t xml:space="preserve">is the starting </w:t>
      </w:r>
      <w:r w:rsidR="00175139">
        <w:t xml:space="preserve">OFDM </w:t>
      </w:r>
      <w:r w:rsidR="00144706">
        <w:t xml:space="preserve">symbol </w:t>
      </w:r>
      <w:r w:rsidR="00605CB2">
        <w:t xml:space="preserve">(in the PRACH SCS) </w:t>
      </w:r>
      <w:r w:rsidR="00144706">
        <w:t xml:space="preserve">of </w:t>
      </w:r>
      <w:r w:rsidR="00084E57">
        <w:t>a</w:t>
      </w:r>
      <w:r w:rsidR="00144706">
        <w:t xml:space="preserve"> PRACH occasion within </w:t>
      </w:r>
      <w:r w:rsidR="003D3974">
        <w:t>the</w:t>
      </w:r>
      <w:r w:rsidR="00144706">
        <w:t xml:space="preserve"> reference 60 kHz slot, </w:t>
      </w:r>
      <w:r w:rsidR="00E408EA">
        <w:rPr>
          <w:noProof/>
          <w:position w:val="-10"/>
        </w:rPr>
        <w:drawing>
          <wp:inline distT="0" distB="0" distL="0" distR="0" wp14:anchorId="668BDEB8" wp14:editId="6C53A99E">
            <wp:extent cx="114300" cy="2000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00E408EA">
        <w:t xml:space="preserve"> is given by the column "Starting symbol" in the PRACH configuration table, </w:t>
      </w:r>
      <w:r w:rsidR="00E408EA" w:rsidRPr="00F5624F">
        <w:rPr>
          <w:noProof/>
          <w:position w:val="-10"/>
        </w:rPr>
        <w:drawing>
          <wp:inline distT="0" distB="0" distL="0" distR="0" wp14:anchorId="2D8C1EAF" wp14:editId="7381D944">
            <wp:extent cx="238125" cy="2095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00E408EA">
        <w:t xml:space="preserve"> is </w:t>
      </w:r>
      <w:r w:rsidR="00831409">
        <w:t xml:space="preserve">the PRACH </w:t>
      </w:r>
      <w:r w:rsidR="008E3C17">
        <w:t xml:space="preserve">occasion </w:t>
      </w:r>
      <w:r w:rsidR="00831409">
        <w:t xml:space="preserve">duration in number of OFDM symbols and is </w:t>
      </w:r>
      <w:r w:rsidR="00E408EA">
        <w:t>given by the column “</w:t>
      </w:r>
      <w:r w:rsidR="00E408EA" w:rsidRPr="00F5624F">
        <w:rPr>
          <w:noProof/>
          <w:position w:val="-10"/>
        </w:rPr>
        <w:drawing>
          <wp:inline distT="0" distB="0" distL="0" distR="0" wp14:anchorId="5FD3E57A" wp14:editId="5F1758B4">
            <wp:extent cx="238125" cy="2095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00E408EA">
        <w:t xml:space="preserve">, PRACH duration”, </w:t>
      </w:r>
      <m:oMath>
        <m:sSubSup>
          <m:sSubSupPr>
            <m:ctrlPr>
              <w:rPr>
                <w:rFonts w:ascii="Cambria Math" w:hAnsi="Cambria Math" w:cs="Calibri"/>
                <w:sz w:val="22"/>
              </w:rPr>
            </m:ctrlPr>
          </m:sSubSupPr>
          <m:e>
            <m:r>
              <w:rPr>
                <w:rFonts w:ascii="Cambria Math" w:hAnsi="Cambria Math"/>
              </w:rPr>
              <m:t>n</m:t>
            </m:r>
          </m:e>
          <m:sub>
            <m:r>
              <w:rPr>
                <w:rFonts w:ascii="Cambria Math" w:hAnsi="Cambria Math"/>
              </w:rPr>
              <m:t>t</m:t>
            </m:r>
          </m:sub>
          <m:sup>
            <m:r>
              <m:rPr>
                <m:nor/>
              </m:rPr>
              <m:t>RA</m:t>
            </m:r>
          </m:sup>
        </m:sSubSup>
      </m:oMath>
      <w:r w:rsidR="00E408EA">
        <w:t xml:space="preserve"> is the </w:t>
      </w:r>
      <w:r w:rsidR="00DE71A3">
        <w:t xml:space="preserve">PRACH </w:t>
      </w:r>
      <w:r w:rsidR="00E408EA">
        <w:t>occasion index within the slot and ranges from 0 up to one less than the value in the column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sty m:val="p"/>
              </m:rPr>
              <w:rPr>
                <w:rFonts w:ascii="Cambria Math" w:hAnsi="Cambria Math"/>
              </w:rPr>
              <m:t>RA, slot</m:t>
            </m:r>
          </m:sup>
        </m:sSubSup>
      </m:oMath>
      <w:r w:rsidR="00E408EA">
        <w:rPr>
          <w:rFonts w:eastAsia="Batang"/>
        </w:rPr>
        <w:t>,number of time-domain PRACH occasions within a PRACH slot</w:t>
      </w:r>
      <w:r w:rsidR="00E408EA">
        <w:t xml:space="preserve">”, and </w:t>
      </w:r>
      <m:oMath>
        <m:sSubSup>
          <m:sSubSupPr>
            <m:ctrlPr>
              <w:rPr>
                <w:rFonts w:ascii="Cambria Math" w:hAnsi="Cambria Math" w:cs="Calibri"/>
                <w:sz w:val="22"/>
              </w:rPr>
            </m:ctrlPr>
          </m:sSubSupPr>
          <m:e>
            <m:r>
              <w:rPr>
                <w:rFonts w:ascii="Cambria Math" w:hAnsi="Cambria Math"/>
              </w:rPr>
              <m:t>n</m:t>
            </m:r>
          </m:e>
          <m:sub>
            <m:r>
              <m:rPr>
                <m:nor/>
              </m:rPr>
              <m:t>slot</m:t>
            </m:r>
          </m:sub>
          <m:sup>
            <m:r>
              <m:rPr>
                <m:nor/>
              </m:rPr>
              <m:t>RA</m:t>
            </m:r>
          </m:sup>
        </m:sSubSup>
      </m:oMath>
      <w:r w:rsidR="00E408EA">
        <w:t xml:space="preserve"> is the PRACH slot index </w:t>
      </w:r>
      <w:r w:rsidR="00E408EA" w:rsidRPr="005C5033">
        <w:t xml:space="preserve">within the 60 kHz </w:t>
      </w:r>
      <w:r w:rsidR="00FC54CF" w:rsidRPr="005C5033">
        <w:t xml:space="preserve">reference </w:t>
      </w:r>
      <w:r w:rsidR="00E408EA" w:rsidRPr="005C5033">
        <w:t xml:space="preserve">slot as discussed above. In order to support 480/960 kHz SCS, there is no need to make any changes to this equation </w:t>
      </w:r>
      <w:r w:rsidR="000C634D" w:rsidRPr="005C5033">
        <w:t xml:space="preserve">or these </w:t>
      </w:r>
      <w:r w:rsidR="00E408EA" w:rsidRPr="005C5033">
        <w:t xml:space="preserve">table </w:t>
      </w:r>
      <w:r w:rsidR="000C634D" w:rsidRPr="005C5033">
        <w:t>columns</w:t>
      </w:r>
      <w:r w:rsidR="00E408EA" w:rsidRPr="005C5033">
        <w:t>.</w:t>
      </w:r>
    </w:p>
    <w:p w14:paraId="26F1303B" w14:textId="0703F586" w:rsidR="00AB4CE5" w:rsidRPr="005C5033" w:rsidRDefault="00AB4CE5" w:rsidP="005C5033">
      <w:r>
        <w:t>In summary, all columns in the current RACH configuration table for FR2 can be used "as is," for supporting 480/960 kHz PRACH. The only thing that needs to be changed is to add a rule, as described above, for defining which 1 or 2 480/960 kHz slots within a reference 60 kHz slot are used.</w:t>
      </w:r>
    </w:p>
    <w:p w14:paraId="6E7508FC" w14:textId="77777777" w:rsidR="00645C26" w:rsidRPr="005C5033" w:rsidRDefault="00645C26" w:rsidP="00FD1284">
      <w:pPr>
        <w:pStyle w:val="B1"/>
        <w:spacing w:after="0"/>
        <w:ind w:left="0" w:firstLine="0"/>
        <w:rPr>
          <w:rFonts w:ascii="Arial" w:eastAsia="DengXian" w:hAnsi="Arial" w:cs="Arial"/>
          <w:szCs w:val="20"/>
          <w:lang w:eastAsia="ko-KR"/>
        </w:rPr>
      </w:pPr>
    </w:p>
    <w:p w14:paraId="06A906FC" w14:textId="424B642B" w:rsidR="00B33D7D" w:rsidRPr="005C5033" w:rsidRDefault="00B33D7D" w:rsidP="005C5033">
      <w:pPr>
        <w:pStyle w:val="Observation"/>
        <w:rPr>
          <w:rFonts w:eastAsia="DengXian" w:cs="Arial"/>
          <w:szCs w:val="20"/>
          <w:lang w:eastAsia="ko-KR"/>
        </w:rPr>
      </w:pPr>
      <w:bookmarkStart w:id="39" w:name="_Toc61860308"/>
      <w:r w:rsidRPr="005C5033">
        <w:lastRenderedPageBreak/>
        <w:t>The c</w:t>
      </w:r>
      <w:r w:rsidR="00FC5496" w:rsidRPr="005C5033">
        <w:t xml:space="preserve">urrent </w:t>
      </w:r>
      <w:r w:rsidR="00522B60">
        <w:t>P</w:t>
      </w:r>
      <w:r w:rsidR="00FC5496" w:rsidRPr="00DC4504">
        <w:t>RACH</w:t>
      </w:r>
      <w:r w:rsidR="00FC5496" w:rsidRPr="005C5033">
        <w:t xml:space="preserve"> configuration table for FR2 </w:t>
      </w:r>
      <w:r w:rsidRPr="005C5033">
        <w:t>which defines PRACH slot positions based on a reference numerology of 60</w:t>
      </w:r>
      <w:r w:rsidR="00F24AC5" w:rsidRPr="005C5033">
        <w:t> </w:t>
      </w:r>
      <w:r w:rsidRPr="005C5033">
        <w:t>kHz can be reused as is for 480/960</w:t>
      </w:r>
      <w:r w:rsidR="00F24AC5" w:rsidRPr="005C5033">
        <w:t> </w:t>
      </w:r>
      <w:r w:rsidRPr="005C5033">
        <w:t xml:space="preserve">kHz. What needs to be specified is </w:t>
      </w:r>
      <w:r w:rsidR="00522B60">
        <w:t xml:space="preserve">a rule on </w:t>
      </w:r>
      <w:r w:rsidRPr="005C5033">
        <w:t>which 1 or 2 480/960 kHz slots within the reference 60</w:t>
      </w:r>
      <w:r w:rsidR="00F24AC5" w:rsidRPr="005C5033">
        <w:t> </w:t>
      </w:r>
      <w:r w:rsidRPr="005C5033">
        <w:t>kHz slot contain PRACH occasion(s).</w:t>
      </w:r>
      <w:bookmarkEnd w:id="39"/>
    </w:p>
    <w:p w14:paraId="6A49B838" w14:textId="0AA009B2" w:rsidR="00522566" w:rsidRPr="005C5033" w:rsidRDefault="00522566" w:rsidP="00FD1284">
      <w:pPr>
        <w:pStyle w:val="B1"/>
        <w:spacing w:after="0"/>
        <w:ind w:left="0" w:firstLine="0"/>
        <w:rPr>
          <w:rFonts w:ascii="Arial" w:eastAsia="DengXian" w:hAnsi="Arial" w:cs="Arial"/>
          <w:szCs w:val="20"/>
          <w:lang w:eastAsia="ko-KR"/>
        </w:rPr>
      </w:pPr>
    </w:p>
    <w:p w14:paraId="405F731B" w14:textId="4BFDEBBD" w:rsidR="00837F48" w:rsidRPr="005C5033" w:rsidRDefault="00837F48" w:rsidP="005C5033">
      <w:pPr>
        <w:pStyle w:val="Proposal"/>
        <w:rPr>
          <w:rFonts w:eastAsia="DengXian" w:cs="Arial"/>
          <w:szCs w:val="20"/>
          <w:lang w:eastAsia="ko-KR"/>
        </w:rPr>
      </w:pPr>
      <w:bookmarkStart w:id="40" w:name="_Toc61755594"/>
      <w:bookmarkStart w:id="41" w:name="_Toc61755835"/>
      <w:bookmarkStart w:id="42" w:name="_Toc61765941"/>
      <w:bookmarkStart w:id="43" w:name="_Toc61860321"/>
      <w:bookmarkEnd w:id="40"/>
      <w:bookmarkEnd w:id="41"/>
      <w:bookmarkEnd w:id="42"/>
      <w:r w:rsidRPr="005C5033">
        <w:t xml:space="preserve">To fulfill </w:t>
      </w:r>
      <w:r w:rsidR="00202C2C" w:rsidRPr="005C5033">
        <w:fldChar w:fldCharType="begin"/>
      </w:r>
      <w:r w:rsidR="00202C2C" w:rsidRPr="005C5033">
        <w:instrText xml:space="preserve"> REF _Ref61755811 \r \h </w:instrText>
      </w:r>
      <w:r w:rsidR="00202C2C" w:rsidRPr="005C5033">
        <w:fldChar w:fldCharType="separate"/>
      </w:r>
      <w:r w:rsidR="00202C2C" w:rsidRPr="005C5033">
        <w:t>Proposal 8</w:t>
      </w:r>
      <w:r w:rsidR="00202C2C" w:rsidRPr="005C5033">
        <w:fldChar w:fldCharType="end"/>
      </w:r>
      <w:r w:rsidRPr="005C5033">
        <w:t>, support configuration of PRACH occasion(s) in only 1 or 2 480/960</w:t>
      </w:r>
      <w:r w:rsidR="00B43B5F">
        <w:t xml:space="preserve"> kHz </w:t>
      </w:r>
      <w:r w:rsidRPr="000B428E">
        <w:t>slots within a 60</w:t>
      </w:r>
      <w:r w:rsidR="00F24AC5">
        <w:t> </w:t>
      </w:r>
      <w:r w:rsidRPr="00CA4EC7">
        <w:t xml:space="preserve">kHz </w:t>
      </w:r>
      <w:r w:rsidR="00EE33CD">
        <w:t xml:space="preserve">reference </w:t>
      </w:r>
      <w:r w:rsidRPr="00F5624F">
        <w:t>slot.</w:t>
      </w:r>
      <w:bookmarkEnd w:id="43"/>
    </w:p>
    <w:p w14:paraId="37D36F8F" w14:textId="77777777" w:rsidR="00FC5496" w:rsidRPr="005C5033" w:rsidRDefault="00FC5496" w:rsidP="00FD1284">
      <w:pPr>
        <w:pStyle w:val="B1"/>
        <w:spacing w:after="0"/>
        <w:ind w:left="0" w:firstLine="0"/>
        <w:rPr>
          <w:rFonts w:ascii="Arial" w:eastAsia="DengXian" w:hAnsi="Arial" w:cs="Arial"/>
          <w:szCs w:val="20"/>
          <w:lang w:eastAsia="ko-KR"/>
        </w:rPr>
      </w:pPr>
    </w:p>
    <w:p w14:paraId="6A9D88D1" w14:textId="4D92FB67" w:rsidR="00645C26" w:rsidRPr="00522B60" w:rsidRDefault="00B33D7D" w:rsidP="00522B60">
      <w:pPr>
        <w:pStyle w:val="Proposal"/>
        <w:rPr>
          <w:rFonts w:eastAsia="DengXian" w:cs="Arial"/>
          <w:szCs w:val="20"/>
          <w:lang w:eastAsia="ko-KR"/>
        </w:rPr>
      </w:pPr>
      <w:bookmarkStart w:id="44" w:name="_Toc61860322"/>
      <w:r w:rsidRPr="00CA4EC7">
        <w:t>For 480/960</w:t>
      </w:r>
      <w:r w:rsidR="00F24AC5">
        <w:t> </w:t>
      </w:r>
      <w:r w:rsidRPr="000B428E">
        <w:t>kHz PRACH, reuse the current PRACH configuration table in 38.211 for FR</w:t>
      </w:r>
      <w:r w:rsidRPr="00CA4EC7">
        <w:t>2</w:t>
      </w:r>
      <w:r w:rsidR="00522B60">
        <w:t xml:space="preserve"> "as is</w:t>
      </w:r>
      <w:r w:rsidRPr="00CA4EC7">
        <w:t>.</w:t>
      </w:r>
      <w:r w:rsidR="00522B60">
        <w:t>"</w:t>
      </w:r>
      <w:r w:rsidRPr="00CA4EC7">
        <w:t xml:space="preserve"> </w:t>
      </w:r>
      <w:r w:rsidR="00522B60">
        <w:t xml:space="preserve">Specify rule for which 1 or 2 480/960 kHz slots within a 60 kHz reference slot are used depending on the value in the existing column </w:t>
      </w:r>
      <w:r w:rsidR="00522B60" w:rsidRPr="00522B60">
        <w:t>"Number of PRACH slots within a 60 kHz slot" in</w:t>
      </w:r>
      <w:r w:rsidR="00522B60">
        <w:t xml:space="preserve"> the current PRACH configuration table.</w:t>
      </w:r>
      <w:r w:rsidR="00BE3AB1">
        <w:t xml:space="preserve"> The rule should be common for all PRACH configurations in the table.</w:t>
      </w:r>
      <w:bookmarkEnd w:id="44"/>
    </w:p>
    <w:p w14:paraId="4CF5B897" w14:textId="77777777" w:rsidR="00645C26" w:rsidRPr="005C5033" w:rsidRDefault="00645C26" w:rsidP="00FD1284">
      <w:pPr>
        <w:pStyle w:val="B1"/>
        <w:spacing w:after="0"/>
        <w:ind w:left="0" w:firstLine="0"/>
        <w:rPr>
          <w:rFonts w:ascii="Arial" w:eastAsia="DengXian" w:hAnsi="Arial" w:cs="Arial"/>
          <w:szCs w:val="20"/>
          <w:lang w:eastAsia="ko-KR"/>
        </w:rPr>
      </w:pPr>
    </w:p>
    <w:p w14:paraId="12FFF725" w14:textId="22C3D79F" w:rsidR="00645C26" w:rsidRPr="005C5033" w:rsidRDefault="00384790" w:rsidP="005C5033">
      <w:pPr>
        <w:pStyle w:val="Heading3"/>
        <w:rPr>
          <w:rFonts w:eastAsia="DengXian"/>
        </w:rPr>
      </w:pPr>
      <w:r w:rsidRPr="005C5033">
        <w:rPr>
          <w:rFonts w:eastAsia="DengXian"/>
        </w:rPr>
        <w:t>2.2.1</w:t>
      </w:r>
      <w:r w:rsidRPr="005C5033">
        <w:rPr>
          <w:rFonts w:eastAsia="DengXian"/>
        </w:rPr>
        <w:tab/>
        <w:t>LBT gaps between consecutive RACH occasions</w:t>
      </w:r>
    </w:p>
    <w:p w14:paraId="510870D7" w14:textId="0AF8704C" w:rsidR="00384790" w:rsidRPr="005C5033" w:rsidRDefault="00384790" w:rsidP="005C5033">
      <w:pPr>
        <w:pStyle w:val="BodyText"/>
        <w:rPr>
          <w:rFonts w:eastAsia="Times New Roman" w:cs="Times New Roman"/>
          <w:szCs w:val="20"/>
        </w:rPr>
      </w:pPr>
      <w:r>
        <w:t xml:space="preserve">For NR-U in the 5/6 GHz band, it was discussed whether or not to introduce gaps between consecutive PRACH occasions within a PRACH slot. In the end, it was decided not to introduce such gaps, as this was viewed as an optimization. In the 52.6 – 71 GHz band, the need for such gaps is even less since LBT failure is rare or even nonexistent. LBT is not a requirement in all regulatory regions or bands, and thus it has been agreed to support both a mode with and without LBT. Even for regions/bands where LBT is required (e.g., c1 band according to HS EN 302 567), the LBT threshold is much higher than for the 5/6 GHz band. System simulation results (see </w:t>
      </w:r>
      <w:r>
        <w:fldChar w:fldCharType="begin"/>
      </w:r>
      <w:r>
        <w:instrText xml:space="preserve"> REF _Ref61360516 \r \h </w:instrText>
      </w:r>
      <w:r>
        <w:fldChar w:fldCharType="separate"/>
      </w:r>
      <w:r>
        <w:t>[6]</w:t>
      </w:r>
      <w:r>
        <w:fldChar w:fldCharType="end"/>
      </w:r>
      <w:r>
        <w:t xml:space="preserve">) show that the system performance without LBT is on par, or even better, than with LBT. This can be explained by the fact that the inherent use of narrow beams and the large path loss significantly reduces the probability of interference. </w:t>
      </w:r>
    </w:p>
    <w:p w14:paraId="0B63B422" w14:textId="3B01DB61" w:rsidR="00384790" w:rsidRDefault="00384790">
      <w:r>
        <w:t xml:space="preserve">In addition, recent updates to draft </w:t>
      </w:r>
      <w:r w:rsidRPr="00EB27C8">
        <w:t>EN 302 567 v2.2.0</w:t>
      </w:r>
      <w:r>
        <w:t xml:space="preserve"> include a clause for Short Control Signaling. Based on this we include </w:t>
      </w:r>
      <w:r>
        <w:fldChar w:fldCharType="begin"/>
      </w:r>
      <w:r>
        <w:instrText xml:space="preserve"> REF _Ref61765508 \r \h </w:instrText>
      </w:r>
      <w:r>
        <w:fldChar w:fldCharType="separate"/>
      </w:r>
      <w:r>
        <w:t>Proposal 5</w:t>
      </w:r>
      <w:r>
        <w:fldChar w:fldCharType="end"/>
      </w:r>
      <w:r>
        <w:t xml:space="preserve"> in Section 2.1.4 in which we propose that PRACH is classified as Short control signaling consistent with </w:t>
      </w:r>
      <w:r w:rsidRPr="00EB27C8">
        <w:t>EN 302 567 v2.2.0</w:t>
      </w:r>
      <w:r>
        <w:t>. With such classification, it is not necessary to optimize the PRACH design by introducing gaps between consecutive PRACH occasions</w:t>
      </w:r>
      <w:r w:rsidR="00B639F5">
        <w:t xml:space="preserve"> within a PRACH slot since in almost all scenarios, LBT will not be required prior to PRACH transmission</w:t>
      </w:r>
      <w:r>
        <w:t>. In addition, this allows a design that is common between licensed and unlicensed operation (both with and without LBT).</w:t>
      </w:r>
    </w:p>
    <w:p w14:paraId="7AA90976" w14:textId="0027128A" w:rsidR="00384790" w:rsidRPr="005C5033" w:rsidRDefault="00384790" w:rsidP="005C5033">
      <w:pPr>
        <w:pStyle w:val="Observation"/>
      </w:pPr>
      <w:bookmarkStart w:id="45" w:name="_Toc61860309"/>
      <w:r>
        <w:t xml:space="preserve">It is not necessary to optimize </w:t>
      </w:r>
      <w:r w:rsidR="00B639F5">
        <w:t>PRACH design to allow for gaps between consecutive PRACH occasions within a PRACH slot</w:t>
      </w:r>
      <w:r>
        <w:t>, especially since SS/PBCH blocks can be classified as short control signaling transmissions consistent with EN 302 567.</w:t>
      </w:r>
      <w:bookmarkEnd w:id="45"/>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EC6FC76" w14:textId="77777777" w:rsidR="00BE3AB1" w:rsidRDefault="006F65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61860305" w:history="1">
        <w:r w:rsidR="00BE3AB1" w:rsidRPr="00632485">
          <w:rPr>
            <w:rStyle w:val="Hyperlink"/>
            <w:noProof/>
          </w:rPr>
          <w:t>Observation 1</w:t>
        </w:r>
        <w:r w:rsidR="00BE3AB1">
          <w:rPr>
            <w:rFonts w:asciiTheme="minorHAnsi" w:eastAsiaTheme="minorEastAsia" w:hAnsiTheme="minorHAnsi"/>
            <w:b w:val="0"/>
            <w:noProof/>
            <w:sz w:val="22"/>
            <w:lang w:eastAsia="en-US"/>
          </w:rPr>
          <w:tab/>
        </w:r>
        <w:r w:rsidR="00BE3AB1" w:rsidRPr="00632485">
          <w:rPr>
            <w:rStyle w:val="Hyperlink"/>
            <w:noProof/>
          </w:rPr>
          <w:t xml:space="preserve">For basic SCell operation, two of the spare bits in IE </w:t>
        </w:r>
        <w:r w:rsidR="00BE3AB1" w:rsidRPr="00632485">
          <w:rPr>
            <w:rStyle w:val="Hyperlink"/>
            <w:i/>
            <w:noProof/>
          </w:rPr>
          <w:t>SubcarrierSpacing</w:t>
        </w:r>
        <w:r w:rsidR="00BE3AB1" w:rsidRPr="00632485">
          <w:rPr>
            <w:rStyle w:val="Hyperlink"/>
            <w:noProof/>
          </w:rPr>
          <w:t xml:space="preserve"> can be used to indicate either 480 or 960 kHz SCS for a non-initial BWP via dedicated signaling.</w:t>
        </w:r>
      </w:hyperlink>
    </w:p>
    <w:p w14:paraId="32D02C03" w14:textId="77777777" w:rsidR="00BE3AB1" w:rsidRDefault="00C2188F">
      <w:pPr>
        <w:pStyle w:val="TableofFigures"/>
        <w:tabs>
          <w:tab w:val="right" w:leader="dot" w:pos="9629"/>
        </w:tabs>
        <w:rPr>
          <w:rFonts w:asciiTheme="minorHAnsi" w:eastAsiaTheme="minorEastAsia" w:hAnsiTheme="minorHAnsi"/>
          <w:b w:val="0"/>
          <w:noProof/>
          <w:sz w:val="22"/>
          <w:lang w:eastAsia="en-US"/>
        </w:rPr>
      </w:pPr>
      <w:hyperlink w:anchor="_Toc61860306" w:history="1">
        <w:r w:rsidR="00BE3AB1" w:rsidRPr="00632485">
          <w:rPr>
            <w:rStyle w:val="Hyperlink"/>
            <w:noProof/>
          </w:rPr>
          <w:t>Observation 2</w:t>
        </w:r>
        <w:r w:rsidR="00BE3AB1">
          <w:rPr>
            <w:rFonts w:asciiTheme="minorHAnsi" w:eastAsiaTheme="minorEastAsia" w:hAnsiTheme="minorHAnsi"/>
            <w:b w:val="0"/>
            <w:noProof/>
            <w:sz w:val="22"/>
            <w:lang w:eastAsia="en-US"/>
          </w:rPr>
          <w:tab/>
        </w:r>
        <w:r w:rsidR="00BE3AB1" w:rsidRPr="00632485">
          <w:rPr>
            <w:rStyle w:val="Hyperlink"/>
            <w:noProof/>
          </w:rPr>
          <w:t>It is not necessary to optimize the SS/PBCH transmission/reception mechanism by introducing a transmission window, especially since SS/PBCH blocks can be classified as short control signaling transmissions consistent with EN 302 567.</w:t>
        </w:r>
      </w:hyperlink>
    </w:p>
    <w:p w14:paraId="77352D5A" w14:textId="77777777" w:rsidR="00BE3AB1" w:rsidRDefault="00C2188F">
      <w:pPr>
        <w:pStyle w:val="TableofFigures"/>
        <w:tabs>
          <w:tab w:val="right" w:leader="dot" w:pos="9629"/>
        </w:tabs>
        <w:rPr>
          <w:rFonts w:asciiTheme="minorHAnsi" w:eastAsiaTheme="minorEastAsia" w:hAnsiTheme="minorHAnsi"/>
          <w:b w:val="0"/>
          <w:noProof/>
          <w:sz w:val="22"/>
          <w:lang w:eastAsia="en-US"/>
        </w:rPr>
      </w:pPr>
      <w:hyperlink w:anchor="_Toc61860307" w:history="1">
        <w:r w:rsidR="00BE3AB1" w:rsidRPr="00632485">
          <w:rPr>
            <w:rStyle w:val="Hyperlink"/>
            <w:rFonts w:eastAsia="DengXian" w:cs="Arial"/>
            <w:noProof/>
            <w:lang w:eastAsia="ko-KR"/>
          </w:rPr>
          <w:t>Observation 3</w:t>
        </w:r>
        <w:r w:rsidR="00BE3AB1">
          <w:rPr>
            <w:rFonts w:asciiTheme="minorHAnsi" w:eastAsiaTheme="minorEastAsia" w:hAnsiTheme="minorHAnsi"/>
            <w:b w:val="0"/>
            <w:noProof/>
            <w:sz w:val="22"/>
            <w:lang w:eastAsia="en-US"/>
          </w:rPr>
          <w:tab/>
        </w:r>
        <w:r w:rsidR="00BE3AB1" w:rsidRPr="00632485">
          <w:rPr>
            <w:rStyle w:val="Hyperlink"/>
            <w:noProof/>
          </w:rPr>
          <w:t xml:space="preserve">While </w:t>
        </w:r>
        <w:r w:rsidR="00BE3AB1" w:rsidRPr="00632485">
          <w:rPr>
            <w:rStyle w:val="Hyperlink"/>
            <w:rFonts w:eastAsia="DengXian" w:cs="Arial"/>
            <w:noProof/>
            <w:lang w:eastAsia="ko-KR"/>
          </w:rPr>
          <w:t>L = 139/571/1151 is beneficial for 120 kHz PRACH from a coverage perspective, the longer sequence lengths (L = 571/1151) lead to excessive PRACH bandwidth for 480/960 kHz PRACH, and are not needed in order to maximize PRACH transmission power given regulatory/UE power limits.</w:t>
        </w:r>
      </w:hyperlink>
    </w:p>
    <w:p w14:paraId="4E19D3B9" w14:textId="77777777" w:rsidR="00BE3AB1" w:rsidRDefault="00C2188F">
      <w:pPr>
        <w:pStyle w:val="TableofFigures"/>
        <w:tabs>
          <w:tab w:val="right" w:leader="dot" w:pos="9629"/>
        </w:tabs>
        <w:rPr>
          <w:rFonts w:asciiTheme="minorHAnsi" w:eastAsiaTheme="minorEastAsia" w:hAnsiTheme="minorHAnsi"/>
          <w:b w:val="0"/>
          <w:noProof/>
          <w:sz w:val="22"/>
          <w:lang w:eastAsia="en-US"/>
        </w:rPr>
      </w:pPr>
      <w:hyperlink w:anchor="_Toc61860308" w:history="1">
        <w:r w:rsidR="00BE3AB1" w:rsidRPr="00632485">
          <w:rPr>
            <w:rStyle w:val="Hyperlink"/>
            <w:rFonts w:eastAsia="DengXian" w:cs="Arial"/>
            <w:noProof/>
            <w:lang w:eastAsia="ko-KR"/>
          </w:rPr>
          <w:t>Observation 4</w:t>
        </w:r>
        <w:r w:rsidR="00BE3AB1">
          <w:rPr>
            <w:rFonts w:asciiTheme="minorHAnsi" w:eastAsiaTheme="minorEastAsia" w:hAnsiTheme="minorHAnsi"/>
            <w:b w:val="0"/>
            <w:noProof/>
            <w:sz w:val="22"/>
            <w:lang w:eastAsia="en-US"/>
          </w:rPr>
          <w:tab/>
        </w:r>
        <w:r w:rsidR="00BE3AB1" w:rsidRPr="00632485">
          <w:rPr>
            <w:rStyle w:val="Hyperlink"/>
            <w:noProof/>
          </w:rPr>
          <w:t>The current PRACH configuration table for FR2 which defines PRACH slot positions based on a reference numerology of 60 kHz can be reused as is for 480/960 kHz. What needs to be specified is a rule on which 1 or 2 480/960 kHz slots within the reference 60 kHz slot contain PRACH occasion(s).</w:t>
        </w:r>
      </w:hyperlink>
    </w:p>
    <w:p w14:paraId="4FDC4E20" w14:textId="77777777" w:rsidR="00BE3AB1" w:rsidRDefault="00C2188F">
      <w:pPr>
        <w:pStyle w:val="TableofFigures"/>
        <w:tabs>
          <w:tab w:val="right" w:leader="dot" w:pos="9629"/>
        </w:tabs>
        <w:rPr>
          <w:rFonts w:asciiTheme="minorHAnsi" w:eastAsiaTheme="minorEastAsia" w:hAnsiTheme="minorHAnsi"/>
          <w:b w:val="0"/>
          <w:noProof/>
          <w:sz w:val="22"/>
          <w:lang w:eastAsia="en-US"/>
        </w:rPr>
      </w:pPr>
      <w:hyperlink w:anchor="_Toc61860309" w:history="1">
        <w:r w:rsidR="00BE3AB1" w:rsidRPr="00632485">
          <w:rPr>
            <w:rStyle w:val="Hyperlink"/>
            <w:noProof/>
          </w:rPr>
          <w:t>Observation 5</w:t>
        </w:r>
        <w:r w:rsidR="00BE3AB1">
          <w:rPr>
            <w:rFonts w:asciiTheme="minorHAnsi" w:eastAsiaTheme="minorEastAsia" w:hAnsiTheme="minorHAnsi"/>
            <w:b w:val="0"/>
            <w:noProof/>
            <w:sz w:val="22"/>
            <w:lang w:eastAsia="en-US"/>
          </w:rPr>
          <w:tab/>
        </w:r>
        <w:r w:rsidR="00BE3AB1" w:rsidRPr="00632485">
          <w:rPr>
            <w:rStyle w:val="Hyperlink"/>
            <w:noProof/>
          </w:rPr>
          <w:t>It is not necessary to optimize PRACH design to allow for gaps between consecutive PRACH occasions within a PRACH slot, especially since SS/PBCH blocks can be classified as short control signaling transmissions consistent with EN 302 567.</w:t>
        </w:r>
      </w:hyperlink>
    </w:p>
    <w:p w14:paraId="5F69EC0F" w14:textId="0B0E4BF5"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2826653" w14:textId="77777777" w:rsidR="00BE3AB1"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61860310" w:history="1">
        <w:r w:rsidR="00BE3AB1" w:rsidRPr="005B5213">
          <w:rPr>
            <w:rStyle w:val="Hyperlink"/>
            <w:noProof/>
          </w:rPr>
          <w:t>Proposal 1</w:t>
        </w:r>
        <w:r w:rsidR="00BE3AB1">
          <w:rPr>
            <w:rFonts w:asciiTheme="minorHAnsi" w:eastAsiaTheme="minorEastAsia" w:hAnsiTheme="minorHAnsi"/>
            <w:b w:val="0"/>
            <w:noProof/>
            <w:sz w:val="22"/>
            <w:lang w:eastAsia="en-US"/>
          </w:rPr>
          <w:tab/>
        </w:r>
        <w:r w:rsidR="00BE3AB1" w:rsidRPr="005B5213">
          <w:rPr>
            <w:rStyle w:val="Hyperlink"/>
            <w:noProof/>
          </w:rPr>
          <w:t>Like in Rel-15/16 FR2, for initial access (PCell), support 240 kHz SCS for SS/PBCH block in an initial BWP (in addition to the already supported 120 kHz) and 120 kHz SCS for initial access related signals/channels in an initial BWP.</w:t>
        </w:r>
      </w:hyperlink>
    </w:p>
    <w:p w14:paraId="1F9C5DD7" w14:textId="77777777" w:rsidR="00BE3AB1" w:rsidRDefault="00C2188F">
      <w:pPr>
        <w:pStyle w:val="TableofFigures"/>
        <w:tabs>
          <w:tab w:val="right" w:leader="dot" w:pos="9629"/>
        </w:tabs>
        <w:rPr>
          <w:rFonts w:asciiTheme="minorHAnsi" w:eastAsiaTheme="minorEastAsia" w:hAnsiTheme="minorHAnsi"/>
          <w:b w:val="0"/>
          <w:noProof/>
          <w:sz w:val="22"/>
          <w:lang w:eastAsia="en-US"/>
        </w:rPr>
      </w:pPr>
      <w:hyperlink w:anchor="_Toc61860311" w:history="1">
        <w:r w:rsidR="00BE3AB1" w:rsidRPr="005B5213">
          <w:rPr>
            <w:rStyle w:val="Hyperlink"/>
            <w:noProof/>
          </w:rPr>
          <w:t>Proposal 2</w:t>
        </w:r>
        <w:r w:rsidR="00BE3AB1">
          <w:rPr>
            <w:rFonts w:asciiTheme="minorHAnsi" w:eastAsiaTheme="minorEastAsia" w:hAnsiTheme="minorHAnsi"/>
            <w:b w:val="0"/>
            <w:noProof/>
            <w:sz w:val="22"/>
            <w:lang w:eastAsia="en-US"/>
          </w:rPr>
          <w:tab/>
        </w:r>
        <w:r w:rsidR="00BE3AB1" w:rsidRPr="005B5213">
          <w:rPr>
            <w:rStyle w:val="Hyperlink"/>
            <w:noProof/>
          </w:rPr>
          <w:t>For cases other than initial access (e.g. for an SCell), support 480 and 960 kHz SCS for SS/PBCH block.</w:t>
        </w:r>
      </w:hyperlink>
    </w:p>
    <w:p w14:paraId="4CC8B2DB" w14:textId="77777777" w:rsidR="00BE3AB1" w:rsidRDefault="00C2188F">
      <w:pPr>
        <w:pStyle w:val="TableofFigures"/>
        <w:tabs>
          <w:tab w:val="right" w:leader="dot" w:pos="9629"/>
        </w:tabs>
        <w:rPr>
          <w:rFonts w:asciiTheme="minorHAnsi" w:eastAsiaTheme="minorEastAsia" w:hAnsiTheme="minorHAnsi"/>
          <w:b w:val="0"/>
          <w:noProof/>
          <w:sz w:val="22"/>
          <w:lang w:eastAsia="en-US"/>
        </w:rPr>
      </w:pPr>
      <w:hyperlink w:anchor="_Toc61860312" w:history="1">
        <w:r w:rsidR="00BE3AB1" w:rsidRPr="005B5213">
          <w:rPr>
            <w:rStyle w:val="Hyperlink"/>
            <w:noProof/>
            <w:lang w:val="en-GB"/>
          </w:rPr>
          <w:t>Proposal 3</w:t>
        </w:r>
        <w:r w:rsidR="00BE3AB1">
          <w:rPr>
            <w:rFonts w:asciiTheme="minorHAnsi" w:eastAsiaTheme="minorEastAsia" w:hAnsiTheme="minorHAnsi"/>
            <w:b w:val="0"/>
            <w:noProof/>
            <w:sz w:val="22"/>
            <w:lang w:eastAsia="en-US"/>
          </w:rPr>
          <w:tab/>
        </w:r>
        <w:r w:rsidR="00BE3AB1" w:rsidRPr="005B5213">
          <w:rPr>
            <w:rStyle w:val="Hyperlink"/>
            <w:noProof/>
            <w:lang w:val="en-GB"/>
          </w:rPr>
          <w:t>Discuss and agree on design principles for defining SSB time domain patterns for 480 and 960 kHz SCS, including whether or not it is needed to include short gaps for beam switching (e.g., 1 OFDM symbol) and/or long gaps (e.g., 2 slots) to allow for UL transmissions.</w:t>
        </w:r>
      </w:hyperlink>
    </w:p>
    <w:p w14:paraId="4A826CC6" w14:textId="77777777" w:rsidR="00BE3AB1" w:rsidRDefault="00C2188F">
      <w:pPr>
        <w:pStyle w:val="TableofFigures"/>
        <w:tabs>
          <w:tab w:val="right" w:leader="dot" w:pos="9629"/>
        </w:tabs>
        <w:rPr>
          <w:rFonts w:asciiTheme="minorHAnsi" w:eastAsiaTheme="minorEastAsia" w:hAnsiTheme="minorHAnsi"/>
          <w:b w:val="0"/>
          <w:noProof/>
          <w:sz w:val="22"/>
          <w:lang w:eastAsia="en-US"/>
        </w:rPr>
      </w:pPr>
      <w:hyperlink w:anchor="_Toc61860313" w:history="1">
        <w:r w:rsidR="00BE3AB1" w:rsidRPr="005B5213">
          <w:rPr>
            <w:rStyle w:val="Hyperlink"/>
            <w:noProof/>
            <w:lang w:val="en-GB"/>
          </w:rPr>
          <w:t>Proposal 4</w:t>
        </w:r>
        <w:r w:rsidR="00BE3AB1">
          <w:rPr>
            <w:rFonts w:asciiTheme="minorHAnsi" w:eastAsiaTheme="minorEastAsia" w:hAnsiTheme="minorHAnsi"/>
            <w:b w:val="0"/>
            <w:noProof/>
            <w:sz w:val="22"/>
            <w:lang w:eastAsia="en-US"/>
          </w:rPr>
          <w:tab/>
        </w:r>
        <w:r w:rsidR="00BE3AB1" w:rsidRPr="005B5213">
          <w:rPr>
            <w:rStyle w:val="Hyperlink"/>
            <w:noProof/>
            <w:lang w:val="en-GB"/>
          </w:rPr>
          <w:t>Use SSB time domain patterns for 120 and 240 kHz SCS as defined for FR2 as a starting point for the design.</w:t>
        </w:r>
      </w:hyperlink>
    </w:p>
    <w:p w14:paraId="0893D361" w14:textId="77777777" w:rsidR="00BE3AB1" w:rsidRDefault="00C2188F">
      <w:pPr>
        <w:pStyle w:val="TableofFigures"/>
        <w:tabs>
          <w:tab w:val="right" w:leader="dot" w:pos="9629"/>
        </w:tabs>
        <w:rPr>
          <w:rFonts w:asciiTheme="minorHAnsi" w:eastAsiaTheme="minorEastAsia" w:hAnsiTheme="minorHAnsi"/>
          <w:b w:val="0"/>
          <w:noProof/>
          <w:sz w:val="22"/>
          <w:lang w:eastAsia="en-US"/>
        </w:rPr>
      </w:pPr>
      <w:hyperlink w:anchor="_Toc61860314" w:history="1">
        <w:r w:rsidR="00BE3AB1" w:rsidRPr="005B5213">
          <w:rPr>
            <w:rStyle w:val="Hyperlink"/>
            <w:noProof/>
          </w:rPr>
          <w:t>Proposal 5</w:t>
        </w:r>
        <w:r w:rsidR="00BE3AB1">
          <w:rPr>
            <w:rFonts w:asciiTheme="minorHAnsi" w:eastAsiaTheme="minorEastAsia" w:hAnsiTheme="minorHAnsi"/>
            <w:b w:val="0"/>
            <w:noProof/>
            <w:sz w:val="22"/>
            <w:lang w:eastAsia="en-US"/>
          </w:rPr>
          <w:tab/>
        </w:r>
        <w:r w:rsidR="00BE3AB1" w:rsidRPr="005B5213">
          <w:rPr>
            <w:rStyle w:val="Hyperlink"/>
            <w:noProof/>
          </w:rPr>
          <w:t>Consistent with EN 302 567, when operating in LBT mode a node can access the channel without LBT for control signal/channel transmissions, the total duration of which shall not exceed 10ms within an observation period of 100ms. The following signals/channels shall be classified as Short control signaling transmissions:</w:t>
        </w:r>
      </w:hyperlink>
    </w:p>
    <w:p w14:paraId="2A20F5D9" w14:textId="77777777" w:rsidR="00BE3AB1" w:rsidRDefault="00C2188F">
      <w:pPr>
        <w:pStyle w:val="TableofFigures"/>
        <w:tabs>
          <w:tab w:val="right" w:leader="dot" w:pos="9629"/>
        </w:tabs>
        <w:rPr>
          <w:rFonts w:asciiTheme="minorHAnsi" w:eastAsiaTheme="minorEastAsia" w:hAnsiTheme="minorHAnsi"/>
          <w:b w:val="0"/>
          <w:noProof/>
          <w:sz w:val="22"/>
          <w:lang w:eastAsia="en-US"/>
        </w:rPr>
      </w:pPr>
      <w:hyperlink w:anchor="_Toc61860315" w:history="1">
        <w:r w:rsidR="00BE3AB1" w:rsidRPr="005B5213">
          <w:rPr>
            <w:rStyle w:val="Hyperlink"/>
            <w:noProof/>
          </w:rPr>
          <w:t>a.</w:t>
        </w:r>
        <w:r w:rsidR="00BE3AB1">
          <w:rPr>
            <w:rFonts w:asciiTheme="minorHAnsi" w:eastAsiaTheme="minorEastAsia" w:hAnsiTheme="minorHAnsi"/>
            <w:b w:val="0"/>
            <w:noProof/>
            <w:sz w:val="22"/>
            <w:lang w:eastAsia="en-US"/>
          </w:rPr>
          <w:tab/>
        </w:r>
        <w:r w:rsidR="00BE3AB1" w:rsidRPr="005B5213">
          <w:rPr>
            <w:rStyle w:val="Hyperlink"/>
            <w:noProof/>
          </w:rPr>
          <w:t>SS/PBCH blocks</w:t>
        </w:r>
      </w:hyperlink>
    </w:p>
    <w:p w14:paraId="4D8455DB" w14:textId="77777777" w:rsidR="00BE3AB1" w:rsidRDefault="00C2188F">
      <w:pPr>
        <w:pStyle w:val="TableofFigures"/>
        <w:tabs>
          <w:tab w:val="right" w:leader="dot" w:pos="9629"/>
        </w:tabs>
        <w:rPr>
          <w:rFonts w:asciiTheme="minorHAnsi" w:eastAsiaTheme="minorEastAsia" w:hAnsiTheme="minorHAnsi"/>
          <w:b w:val="0"/>
          <w:noProof/>
          <w:sz w:val="22"/>
          <w:lang w:eastAsia="en-US"/>
        </w:rPr>
      </w:pPr>
      <w:hyperlink w:anchor="_Toc61860316" w:history="1">
        <w:r w:rsidR="00BE3AB1" w:rsidRPr="005B5213">
          <w:rPr>
            <w:rStyle w:val="Hyperlink"/>
            <w:noProof/>
          </w:rPr>
          <w:t>b.</w:t>
        </w:r>
        <w:r w:rsidR="00BE3AB1">
          <w:rPr>
            <w:rFonts w:asciiTheme="minorHAnsi" w:eastAsiaTheme="minorEastAsia" w:hAnsiTheme="minorHAnsi"/>
            <w:b w:val="0"/>
            <w:noProof/>
            <w:sz w:val="22"/>
            <w:lang w:eastAsia="en-US"/>
          </w:rPr>
          <w:tab/>
        </w:r>
        <w:r w:rsidR="00BE3AB1" w:rsidRPr="005B5213">
          <w:rPr>
            <w:rStyle w:val="Hyperlink"/>
            <w:noProof/>
          </w:rPr>
          <w:t>PRACH</w:t>
        </w:r>
      </w:hyperlink>
    </w:p>
    <w:p w14:paraId="68DE8C19" w14:textId="77777777" w:rsidR="00BE3AB1" w:rsidRDefault="00C2188F">
      <w:pPr>
        <w:pStyle w:val="TableofFigures"/>
        <w:tabs>
          <w:tab w:val="right" w:leader="dot" w:pos="9629"/>
        </w:tabs>
        <w:rPr>
          <w:rFonts w:asciiTheme="minorHAnsi" w:eastAsiaTheme="minorEastAsia" w:hAnsiTheme="minorHAnsi"/>
          <w:b w:val="0"/>
          <w:noProof/>
          <w:sz w:val="22"/>
          <w:lang w:eastAsia="en-US"/>
        </w:rPr>
      </w:pPr>
      <w:hyperlink w:anchor="_Toc61860317" w:history="1">
        <w:r w:rsidR="00BE3AB1" w:rsidRPr="005B5213">
          <w:rPr>
            <w:rStyle w:val="Hyperlink"/>
            <w:noProof/>
          </w:rPr>
          <w:t>c.</w:t>
        </w:r>
        <w:r w:rsidR="00BE3AB1">
          <w:rPr>
            <w:rFonts w:asciiTheme="minorHAnsi" w:eastAsiaTheme="minorEastAsia" w:hAnsiTheme="minorHAnsi"/>
            <w:b w:val="0"/>
            <w:noProof/>
            <w:sz w:val="22"/>
            <w:lang w:eastAsia="en-US"/>
          </w:rPr>
          <w:tab/>
        </w:r>
        <w:r w:rsidR="00BE3AB1" w:rsidRPr="005B5213">
          <w:rPr>
            <w:rStyle w:val="Hyperlink"/>
            <w:noProof/>
          </w:rPr>
          <w:t>FFS: Other control transmissions not multiplexed with user data (subject to gNB configuration)</w:t>
        </w:r>
      </w:hyperlink>
    </w:p>
    <w:p w14:paraId="3CB1773F" w14:textId="77777777" w:rsidR="00BE3AB1" w:rsidRDefault="00C2188F">
      <w:pPr>
        <w:pStyle w:val="TableofFigures"/>
        <w:tabs>
          <w:tab w:val="right" w:leader="dot" w:pos="9629"/>
        </w:tabs>
        <w:rPr>
          <w:rFonts w:asciiTheme="minorHAnsi" w:eastAsiaTheme="minorEastAsia" w:hAnsiTheme="minorHAnsi"/>
          <w:b w:val="0"/>
          <w:noProof/>
          <w:sz w:val="22"/>
          <w:lang w:eastAsia="en-US"/>
        </w:rPr>
      </w:pPr>
      <w:hyperlink w:anchor="_Toc61860318" w:history="1">
        <w:r w:rsidR="00BE3AB1" w:rsidRPr="005B5213">
          <w:rPr>
            <w:rStyle w:val="Hyperlink"/>
            <w:rFonts w:eastAsia="DengXian" w:cs="Arial"/>
            <w:noProof/>
            <w:lang w:eastAsia="ko-KR"/>
          </w:rPr>
          <w:t>Proposal 6</w:t>
        </w:r>
        <w:r w:rsidR="00BE3AB1">
          <w:rPr>
            <w:rFonts w:asciiTheme="minorHAnsi" w:eastAsiaTheme="minorEastAsia" w:hAnsiTheme="minorHAnsi"/>
            <w:b w:val="0"/>
            <w:noProof/>
            <w:sz w:val="22"/>
            <w:lang w:eastAsia="en-US"/>
          </w:rPr>
          <w:tab/>
        </w:r>
        <w:r w:rsidR="00BE3AB1" w:rsidRPr="005B5213">
          <w:rPr>
            <w:rStyle w:val="Hyperlink"/>
            <w:rFonts w:eastAsia="DengXian" w:cs="Arial"/>
            <w:noProof/>
            <w:lang w:eastAsia="ko-KR"/>
          </w:rPr>
          <w:t>For cases other than initial access (e.g. for an SCell), support 480 and 960 kHz SCS for PRACH</w:t>
        </w:r>
      </w:hyperlink>
    </w:p>
    <w:p w14:paraId="7F386F65" w14:textId="77777777" w:rsidR="00BE3AB1" w:rsidRDefault="00C2188F">
      <w:pPr>
        <w:pStyle w:val="TableofFigures"/>
        <w:tabs>
          <w:tab w:val="right" w:leader="dot" w:pos="9629"/>
        </w:tabs>
        <w:rPr>
          <w:rFonts w:asciiTheme="minorHAnsi" w:eastAsiaTheme="minorEastAsia" w:hAnsiTheme="minorHAnsi"/>
          <w:b w:val="0"/>
          <w:noProof/>
          <w:sz w:val="22"/>
          <w:lang w:eastAsia="en-US"/>
        </w:rPr>
      </w:pPr>
      <w:hyperlink w:anchor="_Toc61860319" w:history="1">
        <w:r w:rsidR="00BE3AB1" w:rsidRPr="005B5213">
          <w:rPr>
            <w:rStyle w:val="Hyperlink"/>
            <w:rFonts w:eastAsia="DengXian" w:cs="Arial"/>
            <w:noProof/>
            <w:lang w:eastAsia="ko-KR"/>
          </w:rPr>
          <w:t>Proposal 7</w:t>
        </w:r>
        <w:r w:rsidR="00BE3AB1">
          <w:rPr>
            <w:rFonts w:asciiTheme="minorHAnsi" w:eastAsiaTheme="minorEastAsia" w:hAnsiTheme="minorHAnsi"/>
            <w:b w:val="0"/>
            <w:noProof/>
            <w:sz w:val="22"/>
            <w:lang w:eastAsia="en-US"/>
          </w:rPr>
          <w:tab/>
        </w:r>
        <w:r w:rsidR="00BE3AB1" w:rsidRPr="005B5213">
          <w:rPr>
            <w:rStyle w:val="Hyperlink"/>
            <w:noProof/>
          </w:rPr>
          <w:t>Specify support for all sequen</w:t>
        </w:r>
        <w:r w:rsidR="00BE3AB1" w:rsidRPr="005B5213">
          <w:rPr>
            <w:rStyle w:val="Hyperlink"/>
            <w:rFonts w:eastAsia="DengXian" w:cs="Arial"/>
            <w:noProof/>
            <w:lang w:eastAsia="ko-KR"/>
          </w:rPr>
          <w:t>ce lengths (139/571/1151) for 120 kHz PRACH. For 480/960 kHz PRACH, specify support for only L = 139.</w:t>
        </w:r>
      </w:hyperlink>
    </w:p>
    <w:p w14:paraId="331668C8" w14:textId="77777777" w:rsidR="00BE3AB1" w:rsidRDefault="00C2188F">
      <w:pPr>
        <w:pStyle w:val="TableofFigures"/>
        <w:tabs>
          <w:tab w:val="right" w:leader="dot" w:pos="9629"/>
        </w:tabs>
        <w:rPr>
          <w:rFonts w:asciiTheme="minorHAnsi" w:eastAsiaTheme="minorEastAsia" w:hAnsiTheme="minorHAnsi"/>
          <w:b w:val="0"/>
          <w:noProof/>
          <w:sz w:val="22"/>
          <w:lang w:eastAsia="en-US"/>
        </w:rPr>
      </w:pPr>
      <w:hyperlink w:anchor="_Toc61860320" w:history="1">
        <w:r w:rsidR="00BE3AB1" w:rsidRPr="005B5213">
          <w:rPr>
            <w:rStyle w:val="Hyperlink"/>
            <w:rFonts w:eastAsia="DengXian" w:cs="Arial"/>
            <w:noProof/>
            <w:lang w:eastAsia="ko-KR"/>
          </w:rPr>
          <w:t>Proposal 8</w:t>
        </w:r>
        <w:r w:rsidR="00BE3AB1">
          <w:rPr>
            <w:rFonts w:asciiTheme="minorHAnsi" w:eastAsiaTheme="minorEastAsia" w:hAnsiTheme="minorHAnsi"/>
            <w:b w:val="0"/>
            <w:noProof/>
            <w:sz w:val="22"/>
            <w:lang w:eastAsia="en-US"/>
          </w:rPr>
          <w:tab/>
        </w:r>
        <w:r w:rsidR="00BE3AB1" w:rsidRPr="005B5213">
          <w:rPr>
            <w:rStyle w:val="Hyperlink"/>
            <w:rFonts w:eastAsia="DengXian" w:cs="Arial"/>
            <w:noProof/>
            <w:lang w:eastAsia="ko-KR"/>
          </w:rPr>
          <w:t>For 480/960 kHz PRACH, support PRACH configurations that allow maintaining the same PRACH processing load (operations/unit time) as for 120 kHz PRACH configurations.</w:t>
        </w:r>
      </w:hyperlink>
    </w:p>
    <w:p w14:paraId="7DBE9A7E" w14:textId="77777777" w:rsidR="00BE3AB1" w:rsidRDefault="00C2188F">
      <w:pPr>
        <w:pStyle w:val="TableofFigures"/>
        <w:tabs>
          <w:tab w:val="right" w:leader="dot" w:pos="9629"/>
        </w:tabs>
        <w:rPr>
          <w:rFonts w:asciiTheme="minorHAnsi" w:eastAsiaTheme="minorEastAsia" w:hAnsiTheme="minorHAnsi"/>
          <w:b w:val="0"/>
          <w:noProof/>
          <w:sz w:val="22"/>
          <w:lang w:eastAsia="en-US"/>
        </w:rPr>
      </w:pPr>
      <w:hyperlink w:anchor="_Toc61860321" w:history="1">
        <w:r w:rsidR="00BE3AB1" w:rsidRPr="005B5213">
          <w:rPr>
            <w:rStyle w:val="Hyperlink"/>
            <w:rFonts w:eastAsia="DengXian" w:cs="Arial"/>
            <w:noProof/>
            <w:lang w:eastAsia="ko-KR"/>
          </w:rPr>
          <w:t>Proposal 9</w:t>
        </w:r>
        <w:r w:rsidR="00BE3AB1">
          <w:rPr>
            <w:rFonts w:asciiTheme="minorHAnsi" w:eastAsiaTheme="minorEastAsia" w:hAnsiTheme="minorHAnsi"/>
            <w:b w:val="0"/>
            <w:noProof/>
            <w:sz w:val="22"/>
            <w:lang w:eastAsia="en-US"/>
          </w:rPr>
          <w:tab/>
        </w:r>
        <w:r w:rsidR="00BE3AB1" w:rsidRPr="005B5213">
          <w:rPr>
            <w:rStyle w:val="Hyperlink"/>
            <w:noProof/>
          </w:rPr>
          <w:t>To fulfill Proposal 8, support configuration of PRACH occasion(s) in only 1 or 2 480/960 kHz slots within a 60 kHz reference slot.</w:t>
        </w:r>
      </w:hyperlink>
    </w:p>
    <w:p w14:paraId="1439CBD0" w14:textId="77777777" w:rsidR="00BE3AB1" w:rsidRDefault="00C2188F">
      <w:pPr>
        <w:pStyle w:val="TableofFigures"/>
        <w:tabs>
          <w:tab w:val="right" w:leader="dot" w:pos="9629"/>
        </w:tabs>
        <w:rPr>
          <w:rFonts w:asciiTheme="minorHAnsi" w:eastAsiaTheme="minorEastAsia" w:hAnsiTheme="minorHAnsi"/>
          <w:b w:val="0"/>
          <w:noProof/>
          <w:sz w:val="22"/>
          <w:lang w:eastAsia="en-US"/>
        </w:rPr>
      </w:pPr>
      <w:hyperlink w:anchor="_Toc61860322" w:history="1">
        <w:r w:rsidR="00BE3AB1" w:rsidRPr="005B5213">
          <w:rPr>
            <w:rStyle w:val="Hyperlink"/>
            <w:rFonts w:eastAsia="DengXian" w:cs="Arial"/>
            <w:noProof/>
            <w:lang w:eastAsia="ko-KR"/>
          </w:rPr>
          <w:t>Proposal 10</w:t>
        </w:r>
        <w:r w:rsidR="00BE3AB1">
          <w:rPr>
            <w:rFonts w:asciiTheme="minorHAnsi" w:eastAsiaTheme="minorEastAsia" w:hAnsiTheme="minorHAnsi"/>
            <w:b w:val="0"/>
            <w:noProof/>
            <w:sz w:val="22"/>
            <w:lang w:eastAsia="en-US"/>
          </w:rPr>
          <w:tab/>
        </w:r>
        <w:r w:rsidR="00BE3AB1" w:rsidRPr="005B5213">
          <w:rPr>
            <w:rStyle w:val="Hyperlink"/>
            <w:noProof/>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hyperlink>
    </w:p>
    <w:p w14:paraId="747C743C" w14:textId="543C01D3" w:rsidR="006E1C82" w:rsidRPr="00CE0424" w:rsidRDefault="006E1C82" w:rsidP="006E1C8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46" w:name="_In-sequence_SDU_delivery"/>
      <w:bookmarkEnd w:id="46"/>
      <w:r w:rsidRPr="00CE0424">
        <w:lastRenderedPageBreak/>
        <w:t>References</w:t>
      </w:r>
    </w:p>
    <w:p w14:paraId="70887E27" w14:textId="185ECE92" w:rsidR="00F86CEB" w:rsidRDefault="00F86CEB" w:rsidP="00F86CEB">
      <w:pPr>
        <w:pStyle w:val="Reference"/>
      </w:pPr>
      <w:bookmarkStart w:id="47" w:name="_Ref60753713"/>
      <w:r>
        <w:t>R1-202925, "</w:t>
      </w:r>
      <w:r w:rsidRPr="00AF56A8">
        <w:t>Revised WID</w:t>
      </w:r>
      <w:r>
        <w:t xml:space="preserve"> </w:t>
      </w:r>
      <w:r w:rsidRPr="00AF56A8">
        <w:t>on Extending current NR operation to 71 GHz</w:t>
      </w:r>
      <w:r>
        <w:t>," CMCC, RAN#90-e, December 2020.</w:t>
      </w:r>
      <w:bookmarkEnd w:id="47"/>
    </w:p>
    <w:p w14:paraId="08277742" w14:textId="4D4D0D91" w:rsidR="002E45A0" w:rsidRDefault="0061451B" w:rsidP="002E45A0">
      <w:pPr>
        <w:pStyle w:val="Reference"/>
      </w:pPr>
      <w:bookmarkStart w:id="48" w:name="_Ref60847000"/>
      <w:r>
        <w:t>3GPP TS 38.101-2, "User Equipment (UE) radio transmission and reception; Part 2: Range 2 Standalone," v16.5.0 September 2020.</w:t>
      </w:r>
      <w:bookmarkEnd w:id="48"/>
    </w:p>
    <w:p w14:paraId="200E4054" w14:textId="491902C5" w:rsidR="00B46C01" w:rsidRDefault="00B46C01" w:rsidP="002E45A0">
      <w:pPr>
        <w:pStyle w:val="Reference"/>
      </w:pPr>
      <w:bookmarkStart w:id="49" w:name="_Ref60993913"/>
      <w:r>
        <w:t>3GPP TS 38.213, “Physical layer procedures for control”, v16.3.0 September 2020.</w:t>
      </w:r>
      <w:bookmarkEnd w:id="49"/>
    </w:p>
    <w:p w14:paraId="5F8C11B0" w14:textId="71DC87EF" w:rsidR="0013466F" w:rsidRDefault="0013466F" w:rsidP="002E45A0">
      <w:pPr>
        <w:pStyle w:val="Reference"/>
      </w:pPr>
      <w:bookmarkStart w:id="50" w:name="_Ref61010403"/>
      <w:r>
        <w:t>3GPP TS 38.211, “Physical channels and modulation”, v16.16.3.0 September 2020.</w:t>
      </w:r>
      <w:bookmarkEnd w:id="50"/>
    </w:p>
    <w:p w14:paraId="2CCEEF53" w14:textId="1D8BB182" w:rsidR="00BD3F19" w:rsidRDefault="00BD3F19" w:rsidP="00BD3F19">
      <w:pPr>
        <w:pStyle w:val="Reference"/>
      </w:pPr>
      <w:bookmarkStart w:id="51" w:name="_Ref46231781"/>
      <w:bookmarkStart w:id="52" w:name="_Ref46490548"/>
      <w:bookmarkStart w:id="53" w:name="_Ref52864098"/>
      <w:r w:rsidRPr="00750160">
        <w:t>R1-</w:t>
      </w:r>
      <w:r w:rsidR="00750160" w:rsidRPr="00750160">
        <w:t xml:space="preserve"> 2101311</w:t>
      </w:r>
      <w:r>
        <w:t>, "Channel access mechanism</w:t>
      </w:r>
      <w:bookmarkEnd w:id="51"/>
      <w:r>
        <w:t>," Ericsson</w:t>
      </w:r>
      <w:bookmarkEnd w:id="52"/>
      <w:r>
        <w:t xml:space="preserve">, RAN1#104-e, </w:t>
      </w:r>
      <w:r w:rsidR="00F35876">
        <w:rPr>
          <w:rFonts w:cs="Arial"/>
          <w:bCs/>
        </w:rPr>
        <w:t>January</w:t>
      </w:r>
      <w:r>
        <w:t xml:space="preserve"> 2021.</w:t>
      </w:r>
      <w:bookmarkEnd w:id="53"/>
    </w:p>
    <w:p w14:paraId="70E8CAB4" w14:textId="3B6CD81F" w:rsidR="00BD3F19" w:rsidRPr="00983772" w:rsidRDefault="00BD3F19" w:rsidP="00BD3F19">
      <w:pPr>
        <w:pStyle w:val="Reference"/>
        <w:rPr>
          <w:szCs w:val="20"/>
        </w:rPr>
      </w:pPr>
      <w:bookmarkStart w:id="54" w:name="_Ref61360516"/>
      <w:r w:rsidRPr="00983772">
        <w:rPr>
          <w:szCs w:val="20"/>
        </w:rPr>
        <w:t>TR 38.808, “</w:t>
      </w:r>
      <w:r w:rsidRPr="00983772">
        <w:rPr>
          <w:rFonts w:cs="Arial"/>
          <w:color w:val="000000"/>
          <w:szCs w:val="20"/>
        </w:rPr>
        <w:t>Study on supporting NR from 52.6 GHz to 71 GHz</w:t>
      </w:r>
      <w:r w:rsidRPr="00983772">
        <w:rPr>
          <w:szCs w:val="20"/>
        </w:rPr>
        <w:t>”</w:t>
      </w:r>
      <w:r w:rsidR="00992946" w:rsidRPr="00983772">
        <w:rPr>
          <w:szCs w:val="20"/>
        </w:rPr>
        <w:t>, v1.0.0, November 2020.</w:t>
      </w:r>
      <w:bookmarkEnd w:id="54"/>
    </w:p>
    <w:p w14:paraId="59ABE232" w14:textId="6B8BA23D" w:rsidR="0013466F" w:rsidRDefault="008655CF" w:rsidP="002E45A0">
      <w:pPr>
        <w:pStyle w:val="Reference"/>
      </w:pPr>
      <w:bookmarkStart w:id="55" w:name="_Ref61361737"/>
      <w:r w:rsidRPr="008655CF">
        <w:t>R1-2007982</w:t>
      </w:r>
      <w:r w:rsidR="00983772">
        <w:t>, ”On</w:t>
      </w:r>
      <w:r w:rsidRPr="008655CF">
        <w:t xml:space="preserve"> NR operations in 52.6 to 71 GHz</w:t>
      </w:r>
      <w:r>
        <w:t>”, Ericsson, RAN1#103-e, November 2020.</w:t>
      </w:r>
      <w:bookmarkEnd w:id="55"/>
    </w:p>
    <w:p w14:paraId="77D911F2" w14:textId="4C6A42DA" w:rsidR="0013466F" w:rsidRPr="00CE0424" w:rsidRDefault="00F35876" w:rsidP="002E45A0">
      <w:pPr>
        <w:pStyle w:val="Reference"/>
      </w:pPr>
      <w:r w:rsidDel="00F35876">
        <w:t>R4-2101863, “</w:t>
      </w:r>
      <w:r w:rsidRPr="00F35876" w:rsidDel="00F35876">
        <w:rPr>
          <w:rFonts w:cs="Arial"/>
        </w:rPr>
        <w:t>TP for NR Rel-17 TR 38.808: Time and synchronization impact”, RAN4#98-e, January 2021</w:t>
      </w:r>
    </w:p>
    <w:sectPr w:rsidR="0013466F" w:rsidRPr="00CE0424" w:rsidSect="00C473A5">
      <w:headerReference w:type="even" r:id="rId35"/>
      <w:footerReference w:type="default" r:id="rId3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0EC04" w14:textId="77777777" w:rsidR="00A24322" w:rsidRDefault="00A24322">
      <w:r>
        <w:separator/>
      </w:r>
    </w:p>
  </w:endnote>
  <w:endnote w:type="continuationSeparator" w:id="0">
    <w:p w14:paraId="1C4DB1F5" w14:textId="77777777" w:rsidR="00A24322" w:rsidRDefault="00A24322">
      <w:r>
        <w:continuationSeparator/>
      </w:r>
    </w:p>
  </w:endnote>
  <w:endnote w:type="continuationNotice" w:id="1">
    <w:p w14:paraId="7741E6EB" w14:textId="77777777" w:rsidR="00A24322" w:rsidRDefault="00A243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A24322" w:rsidRDefault="00A2432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3AAD5" w14:textId="77777777" w:rsidR="00A24322" w:rsidRDefault="00A24322">
      <w:r>
        <w:separator/>
      </w:r>
    </w:p>
  </w:footnote>
  <w:footnote w:type="continuationSeparator" w:id="0">
    <w:p w14:paraId="2D122105" w14:textId="77777777" w:rsidR="00A24322" w:rsidRDefault="00A24322">
      <w:r>
        <w:continuationSeparator/>
      </w:r>
    </w:p>
  </w:footnote>
  <w:footnote w:type="continuationNotice" w:id="1">
    <w:p w14:paraId="55B0BBDF" w14:textId="77777777" w:rsidR="00A24322" w:rsidRDefault="00A243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A24322" w:rsidRDefault="00A2432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4968DD"/>
    <w:multiLevelType w:val="hybridMultilevel"/>
    <w:tmpl w:val="50BE1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4F505A"/>
    <w:multiLevelType w:val="hybridMultilevel"/>
    <w:tmpl w:val="A40CE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387600"/>
    <w:multiLevelType w:val="hybridMultilevel"/>
    <w:tmpl w:val="EB50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902B8C"/>
    <w:multiLevelType w:val="hybridMultilevel"/>
    <w:tmpl w:val="55A4C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281E32"/>
    <w:multiLevelType w:val="hybridMultilevel"/>
    <w:tmpl w:val="6AD26BD2"/>
    <w:lvl w:ilvl="0" w:tplc="D77E9068">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98569E"/>
    <w:multiLevelType w:val="hybridMultilevel"/>
    <w:tmpl w:val="7062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3C47C9"/>
    <w:multiLevelType w:val="hybridMultilevel"/>
    <w:tmpl w:val="38021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0"/>
  </w:num>
  <w:num w:numId="6">
    <w:abstractNumId w:val="19"/>
  </w:num>
  <w:num w:numId="7">
    <w:abstractNumId w:val="24"/>
  </w:num>
  <w:num w:numId="8">
    <w:abstractNumId w:val="12"/>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7"/>
  </w:num>
  <w:num w:numId="18">
    <w:abstractNumId w:val="8"/>
  </w:num>
  <w:num w:numId="19">
    <w:abstractNumId w:val="5"/>
  </w:num>
  <w:num w:numId="20">
    <w:abstractNumId w:val="30"/>
  </w:num>
  <w:num w:numId="21">
    <w:abstractNumId w:val="13"/>
  </w:num>
  <w:num w:numId="22">
    <w:abstractNumId w:val="27"/>
  </w:num>
  <w:num w:numId="23">
    <w:abstractNumId w:val="25"/>
  </w:num>
  <w:num w:numId="24">
    <w:abstractNumId w:val="6"/>
  </w:num>
  <w:num w:numId="25">
    <w:abstractNumId w:val="29"/>
  </w:num>
  <w:num w:numId="26">
    <w:abstractNumId w:val="11"/>
  </w:num>
  <w:num w:numId="27">
    <w:abstractNumId w:val="4"/>
  </w:num>
  <w:num w:numId="28">
    <w:abstractNumId w:val="28"/>
  </w:num>
  <w:num w:numId="29">
    <w:abstractNumId w:val="20"/>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31"/>
  </w:num>
  <w:num w:numId="3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03F2"/>
    <w:rsid w:val="00011292"/>
    <w:rsid w:val="00011B28"/>
    <w:rsid w:val="00015D15"/>
    <w:rsid w:val="000176AC"/>
    <w:rsid w:val="00021C98"/>
    <w:rsid w:val="00022F57"/>
    <w:rsid w:val="000237A3"/>
    <w:rsid w:val="0002444A"/>
    <w:rsid w:val="0002564D"/>
    <w:rsid w:val="00025A57"/>
    <w:rsid w:val="00025CA2"/>
    <w:rsid w:val="00025ECA"/>
    <w:rsid w:val="00031C78"/>
    <w:rsid w:val="000325B8"/>
    <w:rsid w:val="00034C15"/>
    <w:rsid w:val="00036BA1"/>
    <w:rsid w:val="000422E2"/>
    <w:rsid w:val="00042F22"/>
    <w:rsid w:val="00044164"/>
    <w:rsid w:val="000444EF"/>
    <w:rsid w:val="000474AB"/>
    <w:rsid w:val="00052A07"/>
    <w:rsid w:val="000534E3"/>
    <w:rsid w:val="0005606A"/>
    <w:rsid w:val="00057117"/>
    <w:rsid w:val="000616E7"/>
    <w:rsid w:val="00063774"/>
    <w:rsid w:val="0006465C"/>
    <w:rsid w:val="0006487E"/>
    <w:rsid w:val="0006513E"/>
    <w:rsid w:val="00065E1A"/>
    <w:rsid w:val="00071D89"/>
    <w:rsid w:val="0007525E"/>
    <w:rsid w:val="00075AE0"/>
    <w:rsid w:val="00077E5F"/>
    <w:rsid w:val="00077EFA"/>
    <w:rsid w:val="0008036A"/>
    <w:rsid w:val="00081AE6"/>
    <w:rsid w:val="00084E57"/>
    <w:rsid w:val="000855EB"/>
    <w:rsid w:val="00085B52"/>
    <w:rsid w:val="00085F47"/>
    <w:rsid w:val="000862AC"/>
    <w:rsid w:val="000866F2"/>
    <w:rsid w:val="0009009F"/>
    <w:rsid w:val="00090E00"/>
    <w:rsid w:val="00091557"/>
    <w:rsid w:val="000924C1"/>
    <w:rsid w:val="000924F0"/>
    <w:rsid w:val="00093474"/>
    <w:rsid w:val="0009510F"/>
    <w:rsid w:val="000A1B7B"/>
    <w:rsid w:val="000A5031"/>
    <w:rsid w:val="000A56F2"/>
    <w:rsid w:val="000B2719"/>
    <w:rsid w:val="000B3A8F"/>
    <w:rsid w:val="000B428E"/>
    <w:rsid w:val="000B4AB9"/>
    <w:rsid w:val="000B58C3"/>
    <w:rsid w:val="000B61E9"/>
    <w:rsid w:val="000C165A"/>
    <w:rsid w:val="000C2E19"/>
    <w:rsid w:val="000C634D"/>
    <w:rsid w:val="000D0725"/>
    <w:rsid w:val="000D0B07"/>
    <w:rsid w:val="000D0D07"/>
    <w:rsid w:val="000D4797"/>
    <w:rsid w:val="000D6897"/>
    <w:rsid w:val="000E0527"/>
    <w:rsid w:val="000E1E92"/>
    <w:rsid w:val="000F0573"/>
    <w:rsid w:val="000F06D6"/>
    <w:rsid w:val="000F0EB1"/>
    <w:rsid w:val="000F1106"/>
    <w:rsid w:val="000F3AA1"/>
    <w:rsid w:val="000F3BE9"/>
    <w:rsid w:val="000F3F6C"/>
    <w:rsid w:val="000F6DF3"/>
    <w:rsid w:val="000F74A6"/>
    <w:rsid w:val="001005FF"/>
    <w:rsid w:val="00100ED4"/>
    <w:rsid w:val="001062FB"/>
    <w:rsid w:val="001063E6"/>
    <w:rsid w:val="001122E8"/>
    <w:rsid w:val="00113CF4"/>
    <w:rsid w:val="001153EA"/>
    <w:rsid w:val="00115643"/>
    <w:rsid w:val="001161FC"/>
    <w:rsid w:val="00116765"/>
    <w:rsid w:val="00121234"/>
    <w:rsid w:val="001219F5"/>
    <w:rsid w:val="00121A20"/>
    <w:rsid w:val="0012377F"/>
    <w:rsid w:val="00123E9F"/>
    <w:rsid w:val="00124314"/>
    <w:rsid w:val="00125B95"/>
    <w:rsid w:val="00126B4A"/>
    <w:rsid w:val="00132FD0"/>
    <w:rsid w:val="00133F81"/>
    <w:rsid w:val="001344C0"/>
    <w:rsid w:val="0013466F"/>
    <w:rsid w:val="001346FA"/>
    <w:rsid w:val="00135252"/>
    <w:rsid w:val="00135E53"/>
    <w:rsid w:val="00137AB5"/>
    <w:rsid w:val="00137F0B"/>
    <w:rsid w:val="0014409A"/>
    <w:rsid w:val="00144706"/>
    <w:rsid w:val="00150E90"/>
    <w:rsid w:val="00151E23"/>
    <w:rsid w:val="001526E0"/>
    <w:rsid w:val="001551B5"/>
    <w:rsid w:val="00156409"/>
    <w:rsid w:val="001631D9"/>
    <w:rsid w:val="001659C1"/>
    <w:rsid w:val="00173A8E"/>
    <w:rsid w:val="0017502C"/>
    <w:rsid w:val="00175139"/>
    <w:rsid w:val="0018143F"/>
    <w:rsid w:val="00181DC5"/>
    <w:rsid w:val="00181FF8"/>
    <w:rsid w:val="0018575F"/>
    <w:rsid w:val="001906AB"/>
    <w:rsid w:val="00190AC1"/>
    <w:rsid w:val="0019341A"/>
    <w:rsid w:val="0019562F"/>
    <w:rsid w:val="00197DF9"/>
    <w:rsid w:val="001A1987"/>
    <w:rsid w:val="001A2564"/>
    <w:rsid w:val="001A3237"/>
    <w:rsid w:val="001A6173"/>
    <w:rsid w:val="001A6CBA"/>
    <w:rsid w:val="001B0D97"/>
    <w:rsid w:val="001B3AAA"/>
    <w:rsid w:val="001B3D56"/>
    <w:rsid w:val="001B5A5D"/>
    <w:rsid w:val="001C1CE5"/>
    <w:rsid w:val="001C2278"/>
    <w:rsid w:val="001C23E4"/>
    <w:rsid w:val="001C3D2A"/>
    <w:rsid w:val="001C6C12"/>
    <w:rsid w:val="001D2BE1"/>
    <w:rsid w:val="001D51BA"/>
    <w:rsid w:val="001D53E7"/>
    <w:rsid w:val="001D6342"/>
    <w:rsid w:val="001D6D53"/>
    <w:rsid w:val="001E033A"/>
    <w:rsid w:val="001E58E2"/>
    <w:rsid w:val="001E7AED"/>
    <w:rsid w:val="001F3916"/>
    <w:rsid w:val="001F54C5"/>
    <w:rsid w:val="001F5F30"/>
    <w:rsid w:val="001F662C"/>
    <w:rsid w:val="001F7074"/>
    <w:rsid w:val="00200490"/>
    <w:rsid w:val="00201126"/>
    <w:rsid w:val="0020154F"/>
    <w:rsid w:val="0020196B"/>
    <w:rsid w:val="00201F3A"/>
    <w:rsid w:val="002025ED"/>
    <w:rsid w:val="00202C2C"/>
    <w:rsid w:val="00203F96"/>
    <w:rsid w:val="002069B2"/>
    <w:rsid w:val="00207FA3"/>
    <w:rsid w:val="00214DA8"/>
    <w:rsid w:val="00215423"/>
    <w:rsid w:val="002158FA"/>
    <w:rsid w:val="00220600"/>
    <w:rsid w:val="002224DB"/>
    <w:rsid w:val="00222A77"/>
    <w:rsid w:val="00223FCB"/>
    <w:rsid w:val="0022438F"/>
    <w:rsid w:val="002252C3"/>
    <w:rsid w:val="00225C54"/>
    <w:rsid w:val="0022660D"/>
    <w:rsid w:val="002277E7"/>
    <w:rsid w:val="00230765"/>
    <w:rsid w:val="00230D18"/>
    <w:rsid w:val="002319E4"/>
    <w:rsid w:val="002334C4"/>
    <w:rsid w:val="00235632"/>
    <w:rsid w:val="00235872"/>
    <w:rsid w:val="00241559"/>
    <w:rsid w:val="002435B3"/>
    <w:rsid w:val="00245015"/>
    <w:rsid w:val="002458EB"/>
    <w:rsid w:val="00247046"/>
    <w:rsid w:val="002470C9"/>
    <w:rsid w:val="002500C8"/>
    <w:rsid w:val="0025017D"/>
    <w:rsid w:val="00257543"/>
    <w:rsid w:val="002617E7"/>
    <w:rsid w:val="00264228"/>
    <w:rsid w:val="00264334"/>
    <w:rsid w:val="0026473E"/>
    <w:rsid w:val="00265181"/>
    <w:rsid w:val="00266214"/>
    <w:rsid w:val="00267202"/>
    <w:rsid w:val="00267C83"/>
    <w:rsid w:val="0027144F"/>
    <w:rsid w:val="00271813"/>
    <w:rsid w:val="00271F3A"/>
    <w:rsid w:val="00273278"/>
    <w:rsid w:val="002737F4"/>
    <w:rsid w:val="002805F5"/>
    <w:rsid w:val="00280751"/>
    <w:rsid w:val="0028280A"/>
    <w:rsid w:val="00286ACD"/>
    <w:rsid w:val="00287838"/>
    <w:rsid w:val="002907B5"/>
    <w:rsid w:val="002926A1"/>
    <w:rsid w:val="00292EB7"/>
    <w:rsid w:val="00295B5A"/>
    <w:rsid w:val="00296227"/>
    <w:rsid w:val="00296F44"/>
    <w:rsid w:val="0029777D"/>
    <w:rsid w:val="002A055E"/>
    <w:rsid w:val="002A1D4E"/>
    <w:rsid w:val="002A2869"/>
    <w:rsid w:val="002A33F8"/>
    <w:rsid w:val="002A3D87"/>
    <w:rsid w:val="002B24A6"/>
    <w:rsid w:val="002B24D6"/>
    <w:rsid w:val="002C0724"/>
    <w:rsid w:val="002C0E84"/>
    <w:rsid w:val="002C1922"/>
    <w:rsid w:val="002C24F7"/>
    <w:rsid w:val="002C41E6"/>
    <w:rsid w:val="002C577C"/>
    <w:rsid w:val="002D071A"/>
    <w:rsid w:val="002D095F"/>
    <w:rsid w:val="002D1F15"/>
    <w:rsid w:val="002D34B2"/>
    <w:rsid w:val="002D48B0"/>
    <w:rsid w:val="002D5B37"/>
    <w:rsid w:val="002D7637"/>
    <w:rsid w:val="002E17F2"/>
    <w:rsid w:val="002E45A0"/>
    <w:rsid w:val="002E7CAE"/>
    <w:rsid w:val="002F13E4"/>
    <w:rsid w:val="002F2771"/>
    <w:rsid w:val="002F315D"/>
    <w:rsid w:val="002F37A9"/>
    <w:rsid w:val="002F469E"/>
    <w:rsid w:val="002F7205"/>
    <w:rsid w:val="002F789E"/>
    <w:rsid w:val="00301CE6"/>
    <w:rsid w:val="0030256B"/>
    <w:rsid w:val="00304F8B"/>
    <w:rsid w:val="0030501F"/>
    <w:rsid w:val="003064D8"/>
    <w:rsid w:val="003069DA"/>
    <w:rsid w:val="00307411"/>
    <w:rsid w:val="00307BA1"/>
    <w:rsid w:val="00307C16"/>
    <w:rsid w:val="00310DCB"/>
    <w:rsid w:val="00311702"/>
    <w:rsid w:val="00311E82"/>
    <w:rsid w:val="00313FD6"/>
    <w:rsid w:val="003143BD"/>
    <w:rsid w:val="00315363"/>
    <w:rsid w:val="003203ED"/>
    <w:rsid w:val="00322C9F"/>
    <w:rsid w:val="003235AB"/>
    <w:rsid w:val="00323BB4"/>
    <w:rsid w:val="00324D23"/>
    <w:rsid w:val="0032771D"/>
    <w:rsid w:val="00331751"/>
    <w:rsid w:val="00334579"/>
    <w:rsid w:val="00335858"/>
    <w:rsid w:val="00336BDA"/>
    <w:rsid w:val="00341D4A"/>
    <w:rsid w:val="00342AE3"/>
    <w:rsid w:val="00342BD7"/>
    <w:rsid w:val="00343546"/>
    <w:rsid w:val="0034407C"/>
    <w:rsid w:val="003458B4"/>
    <w:rsid w:val="00345EA9"/>
    <w:rsid w:val="00346DB5"/>
    <w:rsid w:val="003477B1"/>
    <w:rsid w:val="00357380"/>
    <w:rsid w:val="00360180"/>
    <w:rsid w:val="003602D9"/>
    <w:rsid w:val="003604CE"/>
    <w:rsid w:val="00363581"/>
    <w:rsid w:val="00363D67"/>
    <w:rsid w:val="00370E47"/>
    <w:rsid w:val="003742AC"/>
    <w:rsid w:val="00376A80"/>
    <w:rsid w:val="00376B61"/>
    <w:rsid w:val="00377CE1"/>
    <w:rsid w:val="00384790"/>
    <w:rsid w:val="00385BF0"/>
    <w:rsid w:val="00386C14"/>
    <w:rsid w:val="00387EE7"/>
    <w:rsid w:val="00391044"/>
    <w:rsid w:val="00392A35"/>
    <w:rsid w:val="003939FF"/>
    <w:rsid w:val="003A0FE1"/>
    <w:rsid w:val="003A2223"/>
    <w:rsid w:val="003A2347"/>
    <w:rsid w:val="003A2A0F"/>
    <w:rsid w:val="003A45A1"/>
    <w:rsid w:val="003A5B0A"/>
    <w:rsid w:val="003A6BAC"/>
    <w:rsid w:val="003A70A4"/>
    <w:rsid w:val="003A732C"/>
    <w:rsid w:val="003A7EF3"/>
    <w:rsid w:val="003B033B"/>
    <w:rsid w:val="003B132D"/>
    <w:rsid w:val="003B159C"/>
    <w:rsid w:val="003B369F"/>
    <w:rsid w:val="003B36A3"/>
    <w:rsid w:val="003B64BB"/>
    <w:rsid w:val="003B7FE5"/>
    <w:rsid w:val="003C11C8"/>
    <w:rsid w:val="003C26DB"/>
    <w:rsid w:val="003C2702"/>
    <w:rsid w:val="003C47D2"/>
    <w:rsid w:val="003C4E4B"/>
    <w:rsid w:val="003C5373"/>
    <w:rsid w:val="003C7806"/>
    <w:rsid w:val="003D051F"/>
    <w:rsid w:val="003D109F"/>
    <w:rsid w:val="003D1184"/>
    <w:rsid w:val="003D12C0"/>
    <w:rsid w:val="003D2478"/>
    <w:rsid w:val="003D308A"/>
    <w:rsid w:val="003D3974"/>
    <w:rsid w:val="003D3C45"/>
    <w:rsid w:val="003D5B1F"/>
    <w:rsid w:val="003E15FA"/>
    <w:rsid w:val="003E55E4"/>
    <w:rsid w:val="003E729B"/>
    <w:rsid w:val="003E74E3"/>
    <w:rsid w:val="003F041F"/>
    <w:rsid w:val="003F05C7"/>
    <w:rsid w:val="003F2CD4"/>
    <w:rsid w:val="003F4006"/>
    <w:rsid w:val="003F6BBE"/>
    <w:rsid w:val="004000E8"/>
    <w:rsid w:val="00402E2B"/>
    <w:rsid w:val="0040512B"/>
    <w:rsid w:val="00405174"/>
    <w:rsid w:val="004056FA"/>
    <w:rsid w:val="00405CA5"/>
    <w:rsid w:val="00406CB7"/>
    <w:rsid w:val="00407CD3"/>
    <w:rsid w:val="00410134"/>
    <w:rsid w:val="00410B72"/>
    <w:rsid w:val="00410F18"/>
    <w:rsid w:val="00411AA8"/>
    <w:rsid w:val="0041263E"/>
    <w:rsid w:val="00413AAC"/>
    <w:rsid w:val="00413E92"/>
    <w:rsid w:val="00414D14"/>
    <w:rsid w:val="00421105"/>
    <w:rsid w:val="00422AA4"/>
    <w:rsid w:val="00422E3D"/>
    <w:rsid w:val="004242F4"/>
    <w:rsid w:val="0042572A"/>
    <w:rsid w:val="00427248"/>
    <w:rsid w:val="00431CAC"/>
    <w:rsid w:val="00437447"/>
    <w:rsid w:val="00440DDA"/>
    <w:rsid w:val="00441A92"/>
    <w:rsid w:val="004431DC"/>
    <w:rsid w:val="00444F56"/>
    <w:rsid w:val="00446426"/>
    <w:rsid w:val="00446488"/>
    <w:rsid w:val="00446AF8"/>
    <w:rsid w:val="00450BC8"/>
    <w:rsid w:val="004517AA"/>
    <w:rsid w:val="00451F5C"/>
    <w:rsid w:val="00452CAC"/>
    <w:rsid w:val="00452FD3"/>
    <w:rsid w:val="00453A2F"/>
    <w:rsid w:val="004546A9"/>
    <w:rsid w:val="00457565"/>
    <w:rsid w:val="00457B71"/>
    <w:rsid w:val="0046059B"/>
    <w:rsid w:val="004632FA"/>
    <w:rsid w:val="00464340"/>
    <w:rsid w:val="00464689"/>
    <w:rsid w:val="004669E2"/>
    <w:rsid w:val="00467BEF"/>
    <w:rsid w:val="00470C31"/>
    <w:rsid w:val="00471DE0"/>
    <w:rsid w:val="004734D0"/>
    <w:rsid w:val="0047556B"/>
    <w:rsid w:val="004763D4"/>
    <w:rsid w:val="00477768"/>
    <w:rsid w:val="004905AD"/>
    <w:rsid w:val="004919BB"/>
    <w:rsid w:val="00492BC5"/>
    <w:rsid w:val="004964F1"/>
    <w:rsid w:val="00496D0D"/>
    <w:rsid w:val="004A16BC"/>
    <w:rsid w:val="004A2B94"/>
    <w:rsid w:val="004A5CD9"/>
    <w:rsid w:val="004B2BF0"/>
    <w:rsid w:val="004B6545"/>
    <w:rsid w:val="004B6F6A"/>
    <w:rsid w:val="004B7C0C"/>
    <w:rsid w:val="004C096F"/>
    <w:rsid w:val="004C3898"/>
    <w:rsid w:val="004C4D59"/>
    <w:rsid w:val="004C62C3"/>
    <w:rsid w:val="004C65D2"/>
    <w:rsid w:val="004C77AA"/>
    <w:rsid w:val="004D36B1"/>
    <w:rsid w:val="004D4D22"/>
    <w:rsid w:val="004D7EBD"/>
    <w:rsid w:val="004E109D"/>
    <w:rsid w:val="004E2341"/>
    <w:rsid w:val="004E2680"/>
    <w:rsid w:val="004E28F9"/>
    <w:rsid w:val="004E2915"/>
    <w:rsid w:val="004E4405"/>
    <w:rsid w:val="004E462E"/>
    <w:rsid w:val="004E56DC"/>
    <w:rsid w:val="004E76F4"/>
    <w:rsid w:val="004F0B4E"/>
    <w:rsid w:val="004F0B6C"/>
    <w:rsid w:val="004F1405"/>
    <w:rsid w:val="004F2078"/>
    <w:rsid w:val="004F4DA3"/>
    <w:rsid w:val="00504FDC"/>
    <w:rsid w:val="00505082"/>
    <w:rsid w:val="00506557"/>
    <w:rsid w:val="0050677A"/>
    <w:rsid w:val="005108D8"/>
    <w:rsid w:val="005116F9"/>
    <w:rsid w:val="00512993"/>
    <w:rsid w:val="00512A04"/>
    <w:rsid w:val="005153A7"/>
    <w:rsid w:val="005219CF"/>
    <w:rsid w:val="00522566"/>
    <w:rsid w:val="00522644"/>
    <w:rsid w:val="00522B60"/>
    <w:rsid w:val="00522BF6"/>
    <w:rsid w:val="00523A50"/>
    <w:rsid w:val="00534B59"/>
    <w:rsid w:val="00536759"/>
    <w:rsid w:val="00537939"/>
    <w:rsid w:val="00537C62"/>
    <w:rsid w:val="005403EE"/>
    <w:rsid w:val="00542F72"/>
    <w:rsid w:val="00546970"/>
    <w:rsid w:val="00550672"/>
    <w:rsid w:val="00553978"/>
    <w:rsid w:val="00554E19"/>
    <w:rsid w:val="0055533F"/>
    <w:rsid w:val="00556126"/>
    <w:rsid w:val="00557D99"/>
    <w:rsid w:val="0056121F"/>
    <w:rsid w:val="00572505"/>
    <w:rsid w:val="00575BE9"/>
    <w:rsid w:val="00582809"/>
    <w:rsid w:val="00583DC1"/>
    <w:rsid w:val="0058530E"/>
    <w:rsid w:val="0058798C"/>
    <w:rsid w:val="00587BA3"/>
    <w:rsid w:val="005900FA"/>
    <w:rsid w:val="00593505"/>
    <w:rsid w:val="005935A4"/>
    <w:rsid w:val="005948C2"/>
    <w:rsid w:val="00595DCA"/>
    <w:rsid w:val="0059634D"/>
    <w:rsid w:val="0059779B"/>
    <w:rsid w:val="005A209A"/>
    <w:rsid w:val="005A662D"/>
    <w:rsid w:val="005B121B"/>
    <w:rsid w:val="005B1409"/>
    <w:rsid w:val="005B35D7"/>
    <w:rsid w:val="005B392A"/>
    <w:rsid w:val="005B3AA3"/>
    <w:rsid w:val="005B5AAD"/>
    <w:rsid w:val="005B6F83"/>
    <w:rsid w:val="005C40FB"/>
    <w:rsid w:val="005C5033"/>
    <w:rsid w:val="005C74FB"/>
    <w:rsid w:val="005D0B4B"/>
    <w:rsid w:val="005D1602"/>
    <w:rsid w:val="005D2206"/>
    <w:rsid w:val="005D6666"/>
    <w:rsid w:val="005D6B03"/>
    <w:rsid w:val="005D7039"/>
    <w:rsid w:val="005D72B9"/>
    <w:rsid w:val="005E0299"/>
    <w:rsid w:val="005E385F"/>
    <w:rsid w:val="005E44F4"/>
    <w:rsid w:val="005E5B81"/>
    <w:rsid w:val="005E62E4"/>
    <w:rsid w:val="005E65D2"/>
    <w:rsid w:val="005E781D"/>
    <w:rsid w:val="005F2CB1"/>
    <w:rsid w:val="005F3025"/>
    <w:rsid w:val="005F3E50"/>
    <w:rsid w:val="005F618C"/>
    <w:rsid w:val="005F70BD"/>
    <w:rsid w:val="006022CE"/>
    <w:rsid w:val="0060283C"/>
    <w:rsid w:val="00604F14"/>
    <w:rsid w:val="00605CB2"/>
    <w:rsid w:val="00611B83"/>
    <w:rsid w:val="00613257"/>
    <w:rsid w:val="006132B2"/>
    <w:rsid w:val="0061451B"/>
    <w:rsid w:val="00617E7D"/>
    <w:rsid w:val="00620A71"/>
    <w:rsid w:val="00620D80"/>
    <w:rsid w:val="006234A6"/>
    <w:rsid w:val="00626CE5"/>
    <w:rsid w:val="00630001"/>
    <w:rsid w:val="006311B3"/>
    <w:rsid w:val="0063142C"/>
    <w:rsid w:val="0063284C"/>
    <w:rsid w:val="00636398"/>
    <w:rsid w:val="006367E1"/>
    <w:rsid w:val="006368D3"/>
    <w:rsid w:val="006377EC"/>
    <w:rsid w:val="0064151F"/>
    <w:rsid w:val="00641533"/>
    <w:rsid w:val="0064208D"/>
    <w:rsid w:val="0064209A"/>
    <w:rsid w:val="00643475"/>
    <w:rsid w:val="0064396A"/>
    <w:rsid w:val="00645C26"/>
    <w:rsid w:val="0064624E"/>
    <w:rsid w:val="006463A4"/>
    <w:rsid w:val="006501C1"/>
    <w:rsid w:val="00650AB9"/>
    <w:rsid w:val="00655034"/>
    <w:rsid w:val="00655200"/>
    <w:rsid w:val="00655733"/>
    <w:rsid w:val="00655ACD"/>
    <w:rsid w:val="00656A92"/>
    <w:rsid w:val="00656DDE"/>
    <w:rsid w:val="0066011D"/>
    <w:rsid w:val="006607C0"/>
    <w:rsid w:val="00660C07"/>
    <w:rsid w:val="006613A6"/>
    <w:rsid w:val="006627A2"/>
    <w:rsid w:val="00662886"/>
    <w:rsid w:val="006634E6"/>
    <w:rsid w:val="006655EE"/>
    <w:rsid w:val="00667EE7"/>
    <w:rsid w:val="00670523"/>
    <w:rsid w:val="00670922"/>
    <w:rsid w:val="00670BE1"/>
    <w:rsid w:val="0067218F"/>
    <w:rsid w:val="006741F2"/>
    <w:rsid w:val="00674CC3"/>
    <w:rsid w:val="00675C72"/>
    <w:rsid w:val="006771F9"/>
    <w:rsid w:val="006776D7"/>
    <w:rsid w:val="00681003"/>
    <w:rsid w:val="006817C9"/>
    <w:rsid w:val="00683ECE"/>
    <w:rsid w:val="00686917"/>
    <w:rsid w:val="00691AD2"/>
    <w:rsid w:val="006929A4"/>
    <w:rsid w:val="00695FC2"/>
    <w:rsid w:val="00696949"/>
    <w:rsid w:val="00696E26"/>
    <w:rsid w:val="00697052"/>
    <w:rsid w:val="006A02CD"/>
    <w:rsid w:val="006A46FB"/>
    <w:rsid w:val="006A5E28"/>
    <w:rsid w:val="006A697B"/>
    <w:rsid w:val="006A7200"/>
    <w:rsid w:val="006A7AFF"/>
    <w:rsid w:val="006B0453"/>
    <w:rsid w:val="006B1816"/>
    <w:rsid w:val="006B2099"/>
    <w:rsid w:val="006B3405"/>
    <w:rsid w:val="006B3E56"/>
    <w:rsid w:val="006B50CF"/>
    <w:rsid w:val="006C03B8"/>
    <w:rsid w:val="006C1F99"/>
    <w:rsid w:val="006C5EC9"/>
    <w:rsid w:val="006C6059"/>
    <w:rsid w:val="006C7075"/>
    <w:rsid w:val="006C7522"/>
    <w:rsid w:val="006D1E18"/>
    <w:rsid w:val="006D342D"/>
    <w:rsid w:val="006D672E"/>
    <w:rsid w:val="006D6F08"/>
    <w:rsid w:val="006E062C"/>
    <w:rsid w:val="006E1C82"/>
    <w:rsid w:val="006E28B7"/>
    <w:rsid w:val="006E2A9B"/>
    <w:rsid w:val="006E3310"/>
    <w:rsid w:val="006E4E39"/>
    <w:rsid w:val="006E565E"/>
    <w:rsid w:val="006E673D"/>
    <w:rsid w:val="006E7D3B"/>
    <w:rsid w:val="006F1B70"/>
    <w:rsid w:val="006F341D"/>
    <w:rsid w:val="006F3CDE"/>
    <w:rsid w:val="006F467C"/>
    <w:rsid w:val="006F4FB1"/>
    <w:rsid w:val="006F58D4"/>
    <w:rsid w:val="006F5968"/>
    <w:rsid w:val="006F6582"/>
    <w:rsid w:val="0070346E"/>
    <w:rsid w:val="00704EDB"/>
    <w:rsid w:val="00706101"/>
    <w:rsid w:val="0070655C"/>
    <w:rsid w:val="00707072"/>
    <w:rsid w:val="00707A2F"/>
    <w:rsid w:val="00707D61"/>
    <w:rsid w:val="00710C4F"/>
    <w:rsid w:val="00712287"/>
    <w:rsid w:val="00712772"/>
    <w:rsid w:val="00713630"/>
    <w:rsid w:val="00713C4C"/>
    <w:rsid w:val="007148D3"/>
    <w:rsid w:val="00714E8E"/>
    <w:rsid w:val="00715B9A"/>
    <w:rsid w:val="00721B32"/>
    <w:rsid w:val="00721CA6"/>
    <w:rsid w:val="00721DC3"/>
    <w:rsid w:val="007257D0"/>
    <w:rsid w:val="00725BB7"/>
    <w:rsid w:val="00726EA6"/>
    <w:rsid w:val="00727208"/>
    <w:rsid w:val="00727680"/>
    <w:rsid w:val="007319F0"/>
    <w:rsid w:val="00732C4F"/>
    <w:rsid w:val="007340CA"/>
    <w:rsid w:val="007348B1"/>
    <w:rsid w:val="00735DC8"/>
    <w:rsid w:val="007362A6"/>
    <w:rsid w:val="00736D7D"/>
    <w:rsid w:val="007400BA"/>
    <w:rsid w:val="00740E58"/>
    <w:rsid w:val="007445A0"/>
    <w:rsid w:val="0074524B"/>
    <w:rsid w:val="0074566A"/>
    <w:rsid w:val="00747D8B"/>
    <w:rsid w:val="00750160"/>
    <w:rsid w:val="00750A6A"/>
    <w:rsid w:val="00751228"/>
    <w:rsid w:val="0075615C"/>
    <w:rsid w:val="007571E1"/>
    <w:rsid w:val="007604B2"/>
    <w:rsid w:val="007617C3"/>
    <w:rsid w:val="00765281"/>
    <w:rsid w:val="00766BAD"/>
    <w:rsid w:val="007729A2"/>
    <w:rsid w:val="007739A6"/>
    <w:rsid w:val="00773BFF"/>
    <w:rsid w:val="007755F2"/>
    <w:rsid w:val="00776971"/>
    <w:rsid w:val="00780A80"/>
    <w:rsid w:val="0078177E"/>
    <w:rsid w:val="00781A50"/>
    <w:rsid w:val="00782A97"/>
    <w:rsid w:val="0078304C"/>
    <w:rsid w:val="00783673"/>
    <w:rsid w:val="00785490"/>
    <w:rsid w:val="007925EA"/>
    <w:rsid w:val="00793CD8"/>
    <w:rsid w:val="00795C92"/>
    <w:rsid w:val="00796231"/>
    <w:rsid w:val="007A1CB3"/>
    <w:rsid w:val="007A282E"/>
    <w:rsid w:val="007A306F"/>
    <w:rsid w:val="007A43A6"/>
    <w:rsid w:val="007A44B6"/>
    <w:rsid w:val="007A58A6"/>
    <w:rsid w:val="007B3D2D"/>
    <w:rsid w:val="007B50AE"/>
    <w:rsid w:val="007B51DF"/>
    <w:rsid w:val="007B53EC"/>
    <w:rsid w:val="007B78EE"/>
    <w:rsid w:val="007C05DD"/>
    <w:rsid w:val="007C06B7"/>
    <w:rsid w:val="007C3D18"/>
    <w:rsid w:val="007C60BF"/>
    <w:rsid w:val="007C6A07"/>
    <w:rsid w:val="007C75A1"/>
    <w:rsid w:val="007C77A5"/>
    <w:rsid w:val="007D04E5"/>
    <w:rsid w:val="007D5901"/>
    <w:rsid w:val="007D7526"/>
    <w:rsid w:val="007E4610"/>
    <w:rsid w:val="007E4715"/>
    <w:rsid w:val="007E505B"/>
    <w:rsid w:val="007E66C1"/>
    <w:rsid w:val="007E7091"/>
    <w:rsid w:val="007F2178"/>
    <w:rsid w:val="007F44F8"/>
    <w:rsid w:val="00801588"/>
    <w:rsid w:val="008015B5"/>
    <w:rsid w:val="00803FAE"/>
    <w:rsid w:val="0080430B"/>
    <w:rsid w:val="00804643"/>
    <w:rsid w:val="00805702"/>
    <w:rsid w:val="0080605F"/>
    <w:rsid w:val="00807786"/>
    <w:rsid w:val="00811FCB"/>
    <w:rsid w:val="008158D6"/>
    <w:rsid w:val="00817196"/>
    <w:rsid w:val="008235DB"/>
    <w:rsid w:val="00824AB4"/>
    <w:rsid w:val="00825C42"/>
    <w:rsid w:val="00825D25"/>
    <w:rsid w:val="00827905"/>
    <w:rsid w:val="00827D6F"/>
    <w:rsid w:val="00831409"/>
    <w:rsid w:val="00833B7A"/>
    <w:rsid w:val="00835047"/>
    <w:rsid w:val="0083546B"/>
    <w:rsid w:val="00835899"/>
    <w:rsid w:val="008376AC"/>
    <w:rsid w:val="00837F48"/>
    <w:rsid w:val="00840578"/>
    <w:rsid w:val="0084206F"/>
    <w:rsid w:val="0084318F"/>
    <w:rsid w:val="008444E8"/>
    <w:rsid w:val="00844E80"/>
    <w:rsid w:val="00846FE7"/>
    <w:rsid w:val="00847D9B"/>
    <w:rsid w:val="008517A7"/>
    <w:rsid w:val="00856911"/>
    <w:rsid w:val="0086244C"/>
    <w:rsid w:val="00863555"/>
    <w:rsid w:val="00864895"/>
    <w:rsid w:val="008655CF"/>
    <w:rsid w:val="0086568B"/>
    <w:rsid w:val="008677FD"/>
    <w:rsid w:val="008706D4"/>
    <w:rsid w:val="00870F8A"/>
    <w:rsid w:val="00871013"/>
    <w:rsid w:val="008719A4"/>
    <w:rsid w:val="00871D23"/>
    <w:rsid w:val="00874312"/>
    <w:rsid w:val="0087437C"/>
    <w:rsid w:val="00875CD7"/>
    <w:rsid w:val="00876B4D"/>
    <w:rsid w:val="00877F18"/>
    <w:rsid w:val="00891E0C"/>
    <w:rsid w:val="008941E3"/>
    <w:rsid w:val="00894A88"/>
    <w:rsid w:val="00895386"/>
    <w:rsid w:val="00896483"/>
    <w:rsid w:val="008A21FF"/>
    <w:rsid w:val="008A2A8F"/>
    <w:rsid w:val="008A2CE2"/>
    <w:rsid w:val="008A30AC"/>
    <w:rsid w:val="008A44B8"/>
    <w:rsid w:val="008A51A8"/>
    <w:rsid w:val="008A54C7"/>
    <w:rsid w:val="008A580C"/>
    <w:rsid w:val="008A72F3"/>
    <w:rsid w:val="008A77D8"/>
    <w:rsid w:val="008B0483"/>
    <w:rsid w:val="008B120C"/>
    <w:rsid w:val="008B486B"/>
    <w:rsid w:val="008B51A0"/>
    <w:rsid w:val="008B592A"/>
    <w:rsid w:val="008B66B3"/>
    <w:rsid w:val="008B7B5C"/>
    <w:rsid w:val="008C0C99"/>
    <w:rsid w:val="008C2017"/>
    <w:rsid w:val="008C4958"/>
    <w:rsid w:val="008C4BAA"/>
    <w:rsid w:val="008C6AE8"/>
    <w:rsid w:val="008C6C38"/>
    <w:rsid w:val="008C7573"/>
    <w:rsid w:val="008C7845"/>
    <w:rsid w:val="008D00A5"/>
    <w:rsid w:val="008D34F1"/>
    <w:rsid w:val="008D39D8"/>
    <w:rsid w:val="008D6D1A"/>
    <w:rsid w:val="008E065E"/>
    <w:rsid w:val="008E0927"/>
    <w:rsid w:val="008E1650"/>
    <w:rsid w:val="008E1909"/>
    <w:rsid w:val="008E3B7C"/>
    <w:rsid w:val="008E3C17"/>
    <w:rsid w:val="008E5DD3"/>
    <w:rsid w:val="008E64FE"/>
    <w:rsid w:val="008E6747"/>
    <w:rsid w:val="008E6E7F"/>
    <w:rsid w:val="008E7547"/>
    <w:rsid w:val="008F1C4E"/>
    <w:rsid w:val="008F1EAB"/>
    <w:rsid w:val="008F33DC"/>
    <w:rsid w:val="008F4595"/>
    <w:rsid w:val="008F477F"/>
    <w:rsid w:val="00902350"/>
    <w:rsid w:val="0090336B"/>
    <w:rsid w:val="009053AA"/>
    <w:rsid w:val="00906939"/>
    <w:rsid w:val="00910B7D"/>
    <w:rsid w:val="009111B6"/>
    <w:rsid w:val="00911DFB"/>
    <w:rsid w:val="00912931"/>
    <w:rsid w:val="00912A4E"/>
    <w:rsid w:val="00913547"/>
    <w:rsid w:val="009139D9"/>
    <w:rsid w:val="00914AD8"/>
    <w:rsid w:val="00916079"/>
    <w:rsid w:val="00917CE9"/>
    <w:rsid w:val="0092014E"/>
    <w:rsid w:val="0092075B"/>
    <w:rsid w:val="00920B50"/>
    <w:rsid w:val="00920BF2"/>
    <w:rsid w:val="00922010"/>
    <w:rsid w:val="00925A40"/>
    <w:rsid w:val="00925EFE"/>
    <w:rsid w:val="00931BD9"/>
    <w:rsid w:val="009326CE"/>
    <w:rsid w:val="009368F3"/>
    <w:rsid w:val="00936FC0"/>
    <w:rsid w:val="009405B9"/>
    <w:rsid w:val="00941636"/>
    <w:rsid w:val="00943742"/>
    <w:rsid w:val="00945C05"/>
    <w:rsid w:val="00946945"/>
    <w:rsid w:val="00947713"/>
    <w:rsid w:val="00950286"/>
    <w:rsid w:val="00950ABA"/>
    <w:rsid w:val="00950DE7"/>
    <w:rsid w:val="00951E58"/>
    <w:rsid w:val="009529E6"/>
    <w:rsid w:val="00953920"/>
    <w:rsid w:val="00953D47"/>
    <w:rsid w:val="009547DA"/>
    <w:rsid w:val="00955356"/>
    <w:rsid w:val="0095681E"/>
    <w:rsid w:val="009572D4"/>
    <w:rsid w:val="00957A2B"/>
    <w:rsid w:val="00961921"/>
    <w:rsid w:val="00961BB5"/>
    <w:rsid w:val="0096252F"/>
    <w:rsid w:val="00962D9B"/>
    <w:rsid w:val="0096430A"/>
    <w:rsid w:val="0096554B"/>
    <w:rsid w:val="0096584A"/>
    <w:rsid w:val="009705E4"/>
    <w:rsid w:val="00971F08"/>
    <w:rsid w:val="0097603D"/>
    <w:rsid w:val="00976949"/>
    <w:rsid w:val="00976F7A"/>
    <w:rsid w:val="00976FA9"/>
    <w:rsid w:val="00977A48"/>
    <w:rsid w:val="00980477"/>
    <w:rsid w:val="00981FD4"/>
    <w:rsid w:val="00983772"/>
    <w:rsid w:val="00985253"/>
    <w:rsid w:val="009853B3"/>
    <w:rsid w:val="00990630"/>
    <w:rsid w:val="009910CA"/>
    <w:rsid w:val="00991761"/>
    <w:rsid w:val="00992946"/>
    <w:rsid w:val="00994DCA"/>
    <w:rsid w:val="009960EC"/>
    <w:rsid w:val="00996275"/>
    <w:rsid w:val="009970DD"/>
    <w:rsid w:val="009A0FBA"/>
    <w:rsid w:val="009A1601"/>
    <w:rsid w:val="009A1D6E"/>
    <w:rsid w:val="009A3BB6"/>
    <w:rsid w:val="009A462D"/>
    <w:rsid w:val="009A5CBA"/>
    <w:rsid w:val="009A7AA4"/>
    <w:rsid w:val="009B0BDD"/>
    <w:rsid w:val="009B1F30"/>
    <w:rsid w:val="009B26EF"/>
    <w:rsid w:val="009B3AC2"/>
    <w:rsid w:val="009B4DF4"/>
    <w:rsid w:val="009B564E"/>
    <w:rsid w:val="009B7E87"/>
    <w:rsid w:val="009C0169"/>
    <w:rsid w:val="009C403E"/>
    <w:rsid w:val="009C6853"/>
    <w:rsid w:val="009D4FF0"/>
    <w:rsid w:val="009D703C"/>
    <w:rsid w:val="009D7156"/>
    <w:rsid w:val="009D718F"/>
    <w:rsid w:val="009E068F"/>
    <w:rsid w:val="009E140D"/>
    <w:rsid w:val="009E14E0"/>
    <w:rsid w:val="009E19B5"/>
    <w:rsid w:val="009E35DB"/>
    <w:rsid w:val="009E47A3"/>
    <w:rsid w:val="009F08F3"/>
    <w:rsid w:val="009F2147"/>
    <w:rsid w:val="009F344F"/>
    <w:rsid w:val="009F4F4A"/>
    <w:rsid w:val="009F6E43"/>
    <w:rsid w:val="00A00442"/>
    <w:rsid w:val="00A031D8"/>
    <w:rsid w:val="00A031E1"/>
    <w:rsid w:val="00A048A8"/>
    <w:rsid w:val="00A04F49"/>
    <w:rsid w:val="00A13E54"/>
    <w:rsid w:val="00A14622"/>
    <w:rsid w:val="00A165D9"/>
    <w:rsid w:val="00A17F63"/>
    <w:rsid w:val="00A20B66"/>
    <w:rsid w:val="00A20CD1"/>
    <w:rsid w:val="00A2193B"/>
    <w:rsid w:val="00A21ED5"/>
    <w:rsid w:val="00A2351A"/>
    <w:rsid w:val="00A24322"/>
    <w:rsid w:val="00A264A9"/>
    <w:rsid w:val="00A26DCF"/>
    <w:rsid w:val="00A27785"/>
    <w:rsid w:val="00A30187"/>
    <w:rsid w:val="00A305D7"/>
    <w:rsid w:val="00A3448A"/>
    <w:rsid w:val="00A34DA9"/>
    <w:rsid w:val="00A36297"/>
    <w:rsid w:val="00A41E2B"/>
    <w:rsid w:val="00A45B74"/>
    <w:rsid w:val="00A52E1D"/>
    <w:rsid w:val="00A546E3"/>
    <w:rsid w:val="00A56CEA"/>
    <w:rsid w:val="00A5773C"/>
    <w:rsid w:val="00A61499"/>
    <w:rsid w:val="00A6233C"/>
    <w:rsid w:val="00A62A77"/>
    <w:rsid w:val="00A631AB"/>
    <w:rsid w:val="00A63483"/>
    <w:rsid w:val="00A657D7"/>
    <w:rsid w:val="00A660AC"/>
    <w:rsid w:val="00A67E6C"/>
    <w:rsid w:val="00A71B99"/>
    <w:rsid w:val="00A739D0"/>
    <w:rsid w:val="00A74D0B"/>
    <w:rsid w:val="00A75A9A"/>
    <w:rsid w:val="00A761D4"/>
    <w:rsid w:val="00A77EC4"/>
    <w:rsid w:val="00A833D7"/>
    <w:rsid w:val="00A847F3"/>
    <w:rsid w:val="00A92879"/>
    <w:rsid w:val="00A9442A"/>
    <w:rsid w:val="00AA016F"/>
    <w:rsid w:val="00AA1B07"/>
    <w:rsid w:val="00AA1ED6"/>
    <w:rsid w:val="00AA51D6"/>
    <w:rsid w:val="00AB0BC8"/>
    <w:rsid w:val="00AB11CA"/>
    <w:rsid w:val="00AB14D9"/>
    <w:rsid w:val="00AB1774"/>
    <w:rsid w:val="00AB1807"/>
    <w:rsid w:val="00AB4AB8"/>
    <w:rsid w:val="00AB4CE5"/>
    <w:rsid w:val="00AB655E"/>
    <w:rsid w:val="00AB6E63"/>
    <w:rsid w:val="00AB6F80"/>
    <w:rsid w:val="00AC007F"/>
    <w:rsid w:val="00AC2ECD"/>
    <w:rsid w:val="00AC3119"/>
    <w:rsid w:val="00AC49FB"/>
    <w:rsid w:val="00AC5A10"/>
    <w:rsid w:val="00AC63EF"/>
    <w:rsid w:val="00AC68B3"/>
    <w:rsid w:val="00AC7690"/>
    <w:rsid w:val="00AD0AA3"/>
    <w:rsid w:val="00AD273D"/>
    <w:rsid w:val="00AD2ED0"/>
    <w:rsid w:val="00AD3F94"/>
    <w:rsid w:val="00AD4A5A"/>
    <w:rsid w:val="00AE1603"/>
    <w:rsid w:val="00AE27AC"/>
    <w:rsid w:val="00AE3CFE"/>
    <w:rsid w:val="00AE40E0"/>
    <w:rsid w:val="00AE4DBA"/>
    <w:rsid w:val="00AE4F07"/>
    <w:rsid w:val="00AF1C5D"/>
    <w:rsid w:val="00AF2320"/>
    <w:rsid w:val="00AF350F"/>
    <w:rsid w:val="00AF42D7"/>
    <w:rsid w:val="00B006FE"/>
    <w:rsid w:val="00B007CB"/>
    <w:rsid w:val="00B01DF9"/>
    <w:rsid w:val="00B02AA9"/>
    <w:rsid w:val="00B02FA3"/>
    <w:rsid w:val="00B03075"/>
    <w:rsid w:val="00B03A1F"/>
    <w:rsid w:val="00B04B4C"/>
    <w:rsid w:val="00B05084"/>
    <w:rsid w:val="00B055FE"/>
    <w:rsid w:val="00B05B80"/>
    <w:rsid w:val="00B0614B"/>
    <w:rsid w:val="00B11B38"/>
    <w:rsid w:val="00B157F9"/>
    <w:rsid w:val="00B17D9B"/>
    <w:rsid w:val="00B20256"/>
    <w:rsid w:val="00B20D09"/>
    <w:rsid w:val="00B2763F"/>
    <w:rsid w:val="00B27AAC"/>
    <w:rsid w:val="00B30929"/>
    <w:rsid w:val="00B33D7D"/>
    <w:rsid w:val="00B372AA"/>
    <w:rsid w:val="00B40445"/>
    <w:rsid w:val="00B409E0"/>
    <w:rsid w:val="00B41888"/>
    <w:rsid w:val="00B42EBF"/>
    <w:rsid w:val="00B43B5F"/>
    <w:rsid w:val="00B4538E"/>
    <w:rsid w:val="00B45A52"/>
    <w:rsid w:val="00B46175"/>
    <w:rsid w:val="00B46C01"/>
    <w:rsid w:val="00B5293A"/>
    <w:rsid w:val="00B548B7"/>
    <w:rsid w:val="00B55967"/>
    <w:rsid w:val="00B563F2"/>
    <w:rsid w:val="00B56AD7"/>
    <w:rsid w:val="00B639F5"/>
    <w:rsid w:val="00B664C7"/>
    <w:rsid w:val="00B713D8"/>
    <w:rsid w:val="00B739F6"/>
    <w:rsid w:val="00B76097"/>
    <w:rsid w:val="00B776A8"/>
    <w:rsid w:val="00B81A6C"/>
    <w:rsid w:val="00B857BA"/>
    <w:rsid w:val="00B85DE5"/>
    <w:rsid w:val="00B90F73"/>
    <w:rsid w:val="00B93B59"/>
    <w:rsid w:val="00B9406A"/>
    <w:rsid w:val="00B95BBF"/>
    <w:rsid w:val="00BA2280"/>
    <w:rsid w:val="00BA2A08"/>
    <w:rsid w:val="00BA348A"/>
    <w:rsid w:val="00BA3630"/>
    <w:rsid w:val="00BA5499"/>
    <w:rsid w:val="00BA56D2"/>
    <w:rsid w:val="00BA5EAE"/>
    <w:rsid w:val="00BA76E0"/>
    <w:rsid w:val="00BA7AFF"/>
    <w:rsid w:val="00BB104A"/>
    <w:rsid w:val="00BB1C6C"/>
    <w:rsid w:val="00BB2A25"/>
    <w:rsid w:val="00BB45F1"/>
    <w:rsid w:val="00BB51E9"/>
    <w:rsid w:val="00BC0FDC"/>
    <w:rsid w:val="00BC28A0"/>
    <w:rsid w:val="00BC3053"/>
    <w:rsid w:val="00BC4D2E"/>
    <w:rsid w:val="00BC63D9"/>
    <w:rsid w:val="00BD1B28"/>
    <w:rsid w:val="00BD3F19"/>
    <w:rsid w:val="00BD48AC"/>
    <w:rsid w:val="00BD5F1A"/>
    <w:rsid w:val="00BD5FDF"/>
    <w:rsid w:val="00BE1234"/>
    <w:rsid w:val="00BE2FA6"/>
    <w:rsid w:val="00BE333F"/>
    <w:rsid w:val="00BE3AB1"/>
    <w:rsid w:val="00BE7406"/>
    <w:rsid w:val="00BE7603"/>
    <w:rsid w:val="00BF1574"/>
    <w:rsid w:val="00BF3279"/>
    <w:rsid w:val="00BF3D1D"/>
    <w:rsid w:val="00BF3FE6"/>
    <w:rsid w:val="00BF48ED"/>
    <w:rsid w:val="00BF74C7"/>
    <w:rsid w:val="00C008FD"/>
    <w:rsid w:val="00C015F1"/>
    <w:rsid w:val="00C01F33"/>
    <w:rsid w:val="00C02CC6"/>
    <w:rsid w:val="00C040F7"/>
    <w:rsid w:val="00C044AB"/>
    <w:rsid w:val="00C0555F"/>
    <w:rsid w:val="00C05706"/>
    <w:rsid w:val="00C07377"/>
    <w:rsid w:val="00C101B9"/>
    <w:rsid w:val="00C10478"/>
    <w:rsid w:val="00C12107"/>
    <w:rsid w:val="00C14D4B"/>
    <w:rsid w:val="00C154BB"/>
    <w:rsid w:val="00C1610B"/>
    <w:rsid w:val="00C16EF2"/>
    <w:rsid w:val="00C2079B"/>
    <w:rsid w:val="00C2188F"/>
    <w:rsid w:val="00C21FD2"/>
    <w:rsid w:val="00C279B5"/>
    <w:rsid w:val="00C27C45"/>
    <w:rsid w:val="00C31050"/>
    <w:rsid w:val="00C3697D"/>
    <w:rsid w:val="00C3719D"/>
    <w:rsid w:val="00C37CB2"/>
    <w:rsid w:val="00C45E91"/>
    <w:rsid w:val="00C46C4E"/>
    <w:rsid w:val="00C470FF"/>
    <w:rsid w:val="00C473A5"/>
    <w:rsid w:val="00C528B2"/>
    <w:rsid w:val="00C54995"/>
    <w:rsid w:val="00C54D41"/>
    <w:rsid w:val="00C56C45"/>
    <w:rsid w:val="00C60783"/>
    <w:rsid w:val="00C63A22"/>
    <w:rsid w:val="00C64672"/>
    <w:rsid w:val="00C66E35"/>
    <w:rsid w:val="00C70697"/>
    <w:rsid w:val="00C72093"/>
    <w:rsid w:val="00C72EF4"/>
    <w:rsid w:val="00C73E39"/>
    <w:rsid w:val="00C744FE"/>
    <w:rsid w:val="00C75D2F"/>
    <w:rsid w:val="00C767BE"/>
    <w:rsid w:val="00C76E3C"/>
    <w:rsid w:val="00C770D4"/>
    <w:rsid w:val="00C81568"/>
    <w:rsid w:val="00C82F9E"/>
    <w:rsid w:val="00C85310"/>
    <w:rsid w:val="00C87BC6"/>
    <w:rsid w:val="00C9027A"/>
    <w:rsid w:val="00C9068E"/>
    <w:rsid w:val="00C93814"/>
    <w:rsid w:val="00C93C4B"/>
    <w:rsid w:val="00C944AB"/>
    <w:rsid w:val="00C9546B"/>
    <w:rsid w:val="00C95B40"/>
    <w:rsid w:val="00C96489"/>
    <w:rsid w:val="00CA1ED8"/>
    <w:rsid w:val="00CA4EC7"/>
    <w:rsid w:val="00CB1F63"/>
    <w:rsid w:val="00CB7170"/>
    <w:rsid w:val="00CC040E"/>
    <w:rsid w:val="00CC0CFB"/>
    <w:rsid w:val="00CC111F"/>
    <w:rsid w:val="00CC1469"/>
    <w:rsid w:val="00CC2011"/>
    <w:rsid w:val="00CC3EA0"/>
    <w:rsid w:val="00CC3FC6"/>
    <w:rsid w:val="00CC581B"/>
    <w:rsid w:val="00CC5E6B"/>
    <w:rsid w:val="00CC7B45"/>
    <w:rsid w:val="00CD1188"/>
    <w:rsid w:val="00CD2ED1"/>
    <w:rsid w:val="00CD337B"/>
    <w:rsid w:val="00CE0424"/>
    <w:rsid w:val="00CE7561"/>
    <w:rsid w:val="00CF1354"/>
    <w:rsid w:val="00CF3B1F"/>
    <w:rsid w:val="00CF3BF6"/>
    <w:rsid w:val="00CF625B"/>
    <w:rsid w:val="00CF687E"/>
    <w:rsid w:val="00CF7EC5"/>
    <w:rsid w:val="00D0349B"/>
    <w:rsid w:val="00D05755"/>
    <w:rsid w:val="00D10249"/>
    <w:rsid w:val="00D115C3"/>
    <w:rsid w:val="00D11897"/>
    <w:rsid w:val="00D13135"/>
    <w:rsid w:val="00D13E4E"/>
    <w:rsid w:val="00D16D9E"/>
    <w:rsid w:val="00D21632"/>
    <w:rsid w:val="00D239A7"/>
    <w:rsid w:val="00D23A04"/>
    <w:rsid w:val="00D23F47"/>
    <w:rsid w:val="00D2511A"/>
    <w:rsid w:val="00D32067"/>
    <w:rsid w:val="00D35B16"/>
    <w:rsid w:val="00D36E71"/>
    <w:rsid w:val="00D37D87"/>
    <w:rsid w:val="00D4032A"/>
    <w:rsid w:val="00D40B33"/>
    <w:rsid w:val="00D41223"/>
    <w:rsid w:val="00D4318F"/>
    <w:rsid w:val="00D438BF"/>
    <w:rsid w:val="00D43A5D"/>
    <w:rsid w:val="00D440F8"/>
    <w:rsid w:val="00D546FF"/>
    <w:rsid w:val="00D55AD5"/>
    <w:rsid w:val="00D576CA"/>
    <w:rsid w:val="00D60F9C"/>
    <w:rsid w:val="00D61AF5"/>
    <w:rsid w:val="00D6236A"/>
    <w:rsid w:val="00D652B5"/>
    <w:rsid w:val="00D66155"/>
    <w:rsid w:val="00D67762"/>
    <w:rsid w:val="00D708B0"/>
    <w:rsid w:val="00D77B1D"/>
    <w:rsid w:val="00D8021F"/>
    <w:rsid w:val="00D80383"/>
    <w:rsid w:val="00D823C6"/>
    <w:rsid w:val="00D8327F"/>
    <w:rsid w:val="00D86B27"/>
    <w:rsid w:val="00D86CA3"/>
    <w:rsid w:val="00D86FF4"/>
    <w:rsid w:val="00D871CE"/>
    <w:rsid w:val="00D90C93"/>
    <w:rsid w:val="00D9196D"/>
    <w:rsid w:val="00D9251B"/>
    <w:rsid w:val="00D92982"/>
    <w:rsid w:val="00D9341A"/>
    <w:rsid w:val="00DA2BFF"/>
    <w:rsid w:val="00DA305E"/>
    <w:rsid w:val="00DA5417"/>
    <w:rsid w:val="00DA56E8"/>
    <w:rsid w:val="00DA5E7D"/>
    <w:rsid w:val="00DB0A9F"/>
    <w:rsid w:val="00DB377D"/>
    <w:rsid w:val="00DB3904"/>
    <w:rsid w:val="00DB6B30"/>
    <w:rsid w:val="00DC2D36"/>
    <w:rsid w:val="00DC4504"/>
    <w:rsid w:val="00DC53EF"/>
    <w:rsid w:val="00DD12B2"/>
    <w:rsid w:val="00DD3222"/>
    <w:rsid w:val="00DD3BD3"/>
    <w:rsid w:val="00DD4828"/>
    <w:rsid w:val="00DD6863"/>
    <w:rsid w:val="00DE12C5"/>
    <w:rsid w:val="00DE18D4"/>
    <w:rsid w:val="00DE31E1"/>
    <w:rsid w:val="00DE5608"/>
    <w:rsid w:val="00DE58D0"/>
    <w:rsid w:val="00DE654F"/>
    <w:rsid w:val="00DE71A3"/>
    <w:rsid w:val="00DF0B6E"/>
    <w:rsid w:val="00DF15E0"/>
    <w:rsid w:val="00DF37A0"/>
    <w:rsid w:val="00DF60BC"/>
    <w:rsid w:val="00E10A22"/>
    <w:rsid w:val="00E110E7"/>
    <w:rsid w:val="00E11B20"/>
    <w:rsid w:val="00E17FA2"/>
    <w:rsid w:val="00E20E36"/>
    <w:rsid w:val="00E22330"/>
    <w:rsid w:val="00E23C80"/>
    <w:rsid w:val="00E26042"/>
    <w:rsid w:val="00E30B5A"/>
    <w:rsid w:val="00E3123D"/>
    <w:rsid w:val="00E31461"/>
    <w:rsid w:val="00E31D43"/>
    <w:rsid w:val="00E32608"/>
    <w:rsid w:val="00E33E9F"/>
    <w:rsid w:val="00E34188"/>
    <w:rsid w:val="00E34B6E"/>
    <w:rsid w:val="00E35559"/>
    <w:rsid w:val="00E3723A"/>
    <w:rsid w:val="00E37860"/>
    <w:rsid w:val="00E408EA"/>
    <w:rsid w:val="00E431CB"/>
    <w:rsid w:val="00E446F1"/>
    <w:rsid w:val="00E46886"/>
    <w:rsid w:val="00E47AEF"/>
    <w:rsid w:val="00E507FB"/>
    <w:rsid w:val="00E53B75"/>
    <w:rsid w:val="00E54E3B"/>
    <w:rsid w:val="00E57084"/>
    <w:rsid w:val="00E57565"/>
    <w:rsid w:val="00E611C2"/>
    <w:rsid w:val="00E618C4"/>
    <w:rsid w:val="00E63838"/>
    <w:rsid w:val="00E64434"/>
    <w:rsid w:val="00E6692D"/>
    <w:rsid w:val="00E67C51"/>
    <w:rsid w:val="00E72EFC"/>
    <w:rsid w:val="00E734D8"/>
    <w:rsid w:val="00E7437E"/>
    <w:rsid w:val="00E758EC"/>
    <w:rsid w:val="00E75F59"/>
    <w:rsid w:val="00E8234C"/>
    <w:rsid w:val="00E82B2C"/>
    <w:rsid w:val="00E83298"/>
    <w:rsid w:val="00E83AA9"/>
    <w:rsid w:val="00E84B7B"/>
    <w:rsid w:val="00E85928"/>
    <w:rsid w:val="00E87822"/>
    <w:rsid w:val="00E90395"/>
    <w:rsid w:val="00E90E49"/>
    <w:rsid w:val="00E917F9"/>
    <w:rsid w:val="00E9291C"/>
    <w:rsid w:val="00E93FFE"/>
    <w:rsid w:val="00E94F8A"/>
    <w:rsid w:val="00E950F1"/>
    <w:rsid w:val="00EA2514"/>
    <w:rsid w:val="00EA2F2B"/>
    <w:rsid w:val="00EA7A41"/>
    <w:rsid w:val="00EA7E43"/>
    <w:rsid w:val="00EB077B"/>
    <w:rsid w:val="00EB3FB8"/>
    <w:rsid w:val="00EB4EA2"/>
    <w:rsid w:val="00EC24D5"/>
    <w:rsid w:val="00EC27C6"/>
    <w:rsid w:val="00EC4207"/>
    <w:rsid w:val="00EC5653"/>
    <w:rsid w:val="00EC71CE"/>
    <w:rsid w:val="00EC74AE"/>
    <w:rsid w:val="00ED1006"/>
    <w:rsid w:val="00ED26B8"/>
    <w:rsid w:val="00ED47B5"/>
    <w:rsid w:val="00EE33CD"/>
    <w:rsid w:val="00EE68F7"/>
    <w:rsid w:val="00EE6934"/>
    <w:rsid w:val="00EF064A"/>
    <w:rsid w:val="00EF18FE"/>
    <w:rsid w:val="00EF5787"/>
    <w:rsid w:val="00EF5C79"/>
    <w:rsid w:val="00EF60D0"/>
    <w:rsid w:val="00F02921"/>
    <w:rsid w:val="00F0528D"/>
    <w:rsid w:val="00F06C67"/>
    <w:rsid w:val="00F06DFD"/>
    <w:rsid w:val="00F071D1"/>
    <w:rsid w:val="00F07533"/>
    <w:rsid w:val="00F10629"/>
    <w:rsid w:val="00F1068F"/>
    <w:rsid w:val="00F15FA5"/>
    <w:rsid w:val="00F20986"/>
    <w:rsid w:val="00F209B7"/>
    <w:rsid w:val="00F224D7"/>
    <w:rsid w:val="00F2376F"/>
    <w:rsid w:val="00F23F72"/>
    <w:rsid w:val="00F243D8"/>
    <w:rsid w:val="00F24AC5"/>
    <w:rsid w:val="00F30828"/>
    <w:rsid w:val="00F313D6"/>
    <w:rsid w:val="00F325B2"/>
    <w:rsid w:val="00F35876"/>
    <w:rsid w:val="00F40F0C"/>
    <w:rsid w:val="00F417D1"/>
    <w:rsid w:val="00F4766C"/>
    <w:rsid w:val="00F5060E"/>
    <w:rsid w:val="00F507D1"/>
    <w:rsid w:val="00F519CE"/>
    <w:rsid w:val="00F51ADA"/>
    <w:rsid w:val="00F51CEF"/>
    <w:rsid w:val="00F5624F"/>
    <w:rsid w:val="00F60203"/>
    <w:rsid w:val="00F607C5"/>
    <w:rsid w:val="00F60DEA"/>
    <w:rsid w:val="00F6302A"/>
    <w:rsid w:val="00F6332D"/>
    <w:rsid w:val="00F638C4"/>
    <w:rsid w:val="00F63950"/>
    <w:rsid w:val="00F64C2B"/>
    <w:rsid w:val="00F651BE"/>
    <w:rsid w:val="00F6542E"/>
    <w:rsid w:val="00F666D2"/>
    <w:rsid w:val="00F67F53"/>
    <w:rsid w:val="00F70377"/>
    <w:rsid w:val="00F703BE"/>
    <w:rsid w:val="00F71F69"/>
    <w:rsid w:val="00F72B72"/>
    <w:rsid w:val="00F73329"/>
    <w:rsid w:val="00F7407A"/>
    <w:rsid w:val="00F74BB9"/>
    <w:rsid w:val="00F75582"/>
    <w:rsid w:val="00F76EFA"/>
    <w:rsid w:val="00F77E9D"/>
    <w:rsid w:val="00F804BE"/>
    <w:rsid w:val="00F817CE"/>
    <w:rsid w:val="00F8456C"/>
    <w:rsid w:val="00F859D8"/>
    <w:rsid w:val="00F860BD"/>
    <w:rsid w:val="00F868F5"/>
    <w:rsid w:val="00F86CEB"/>
    <w:rsid w:val="00F872A6"/>
    <w:rsid w:val="00F87DEE"/>
    <w:rsid w:val="00F9056A"/>
    <w:rsid w:val="00F90F8D"/>
    <w:rsid w:val="00F91916"/>
    <w:rsid w:val="00F92039"/>
    <w:rsid w:val="00F92782"/>
    <w:rsid w:val="00F93AA9"/>
    <w:rsid w:val="00F9563A"/>
    <w:rsid w:val="00F96985"/>
    <w:rsid w:val="00F97838"/>
    <w:rsid w:val="00F97BEE"/>
    <w:rsid w:val="00FA2BB3"/>
    <w:rsid w:val="00FA487B"/>
    <w:rsid w:val="00FA4A5E"/>
    <w:rsid w:val="00FB4C80"/>
    <w:rsid w:val="00FB6896"/>
    <w:rsid w:val="00FB6A6A"/>
    <w:rsid w:val="00FC1106"/>
    <w:rsid w:val="00FC3F3E"/>
    <w:rsid w:val="00FC5496"/>
    <w:rsid w:val="00FC54CF"/>
    <w:rsid w:val="00FC569B"/>
    <w:rsid w:val="00FC5F6F"/>
    <w:rsid w:val="00FC650E"/>
    <w:rsid w:val="00FC65B8"/>
    <w:rsid w:val="00FC7429"/>
    <w:rsid w:val="00FD07F6"/>
    <w:rsid w:val="00FD1284"/>
    <w:rsid w:val="00FD1DE5"/>
    <w:rsid w:val="00FD1EC8"/>
    <w:rsid w:val="00FD47ED"/>
    <w:rsid w:val="00FD74DB"/>
    <w:rsid w:val="00FD7660"/>
    <w:rsid w:val="00FE0655"/>
    <w:rsid w:val="00FE2365"/>
    <w:rsid w:val="00FE37D7"/>
    <w:rsid w:val="00FE4C7B"/>
    <w:rsid w:val="00FE4F42"/>
    <w:rsid w:val="00FE7336"/>
    <w:rsid w:val="00FE787C"/>
    <w:rsid w:val="00FF45A5"/>
    <w:rsid w:val="00FF5C91"/>
    <w:rsid w:val="00FF672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32"/>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33"/>
      </w:numPr>
      <w:spacing w:after="180" w:line="240" w:lineRule="auto"/>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4.wmf"/><Relationship Id="rId21" Type="http://schemas.openxmlformats.org/officeDocument/2006/relationships/image" Target="media/image9.wmf"/><Relationship Id="rId34" Type="http://schemas.openxmlformats.org/officeDocument/2006/relationships/image" Target="media/image22.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wmf"/><Relationship Id="rId33" Type="http://schemas.openxmlformats.org/officeDocument/2006/relationships/image" Target="media/image21.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wmf"/><Relationship Id="rId29"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20.png"/><Relationship Id="rId37" Type="http://schemas.openxmlformats.org/officeDocument/2006/relationships/fontTable" Target="fontTable.xml"/><Relationship Id="rId36" Type="http://schemas.openxmlformats.org/officeDocument/2006/relationships/footer" Target="footer1.xml"/><Relationship Id="rId15" Type="http://schemas.openxmlformats.org/officeDocument/2006/relationships/image" Target="media/image3.png"/><Relationship Id="rId23" Type="http://schemas.openxmlformats.org/officeDocument/2006/relationships/image" Target="media/image11.wmf"/><Relationship Id="rId28" Type="http://schemas.openxmlformats.org/officeDocument/2006/relationships/image" Target="media/image16.wmf"/><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image" Target="media/image19.wmf"/><Relationship Id="rId35" Type="http://schemas.openxmlformats.org/officeDocument/2006/relationships/header" Target="header1.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D154DFAA-3F4D-4391-BCEA-654C9878069E}"/>
</file>

<file path=customXml/itemProps3.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73565449-87F6-43AA-A1FE-5FAB8D967CDB}">
  <ds:schemaRefs>
    <ds:schemaRef ds:uri="http://schemas.microsoft.com/sharepoint/events"/>
  </ds:schemaRefs>
</ds:datastoreItem>
</file>

<file path=customXml/itemProps5.xml><?xml version="1.0" encoding="utf-8"?>
<ds:datastoreItem xmlns:ds="http://schemas.openxmlformats.org/officeDocument/2006/customXml" ds:itemID="{63E65FC2-D248-4F3B-A4FF-750D4248A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2142</TotalTime>
  <Pages>12</Pages>
  <Words>5561</Words>
  <Characters>29476</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34968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Axnäs</cp:lastModifiedBy>
  <cp:revision>184</cp:revision>
  <cp:lastPrinted>2008-01-31T07:09:00Z</cp:lastPrinted>
  <dcterms:created xsi:type="dcterms:W3CDTF">2020-08-29T07:51:00Z</dcterms:created>
  <dcterms:modified xsi:type="dcterms:W3CDTF">2021-01-18T19:22:00Z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3cf384b4-17d4-4ae0-acad-9bae66bef58a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5NUHHDQN7SK2-1476151046-427149</vt:lpwstr>
  </property>
  <property fmtid="{D5CDD505-2E9C-101B-9397-08002B2CF9AE}" pid="18" name="_SourceUrl">
    <vt:lpwstr/>
  </property>
  <property fmtid="{D5CDD505-2E9C-101B-9397-08002B2CF9AE}" pid="19" name="_SharedFileIndex">
    <vt:lpwstr/>
  </property>
  <property fmtid="{D5CDD505-2E9C-101B-9397-08002B2CF9AE}" pid="20" name="TaxKeywordTaxHTField">
    <vt:lpwstr>3GPP|11111111-1111-1111-1111-111111111111;TDoc|af4b50c5-3c78-4293-b1bd-3e717d5b6882;Ericsson|11111111-1111-1111-1111-111111111111</vt:lpwstr>
  </property>
  <property fmtid="{D5CDD505-2E9C-101B-9397-08002B2CF9AE}" pid="21" name="ComplianceAssetId">
    <vt:lpwstr/>
  </property>
  <property fmtid="{D5CDD505-2E9C-101B-9397-08002B2CF9AE}" pid="22" name="TemplateUrl">
    <vt:lpwstr/>
  </property>
  <property fmtid="{D5CDD505-2E9C-101B-9397-08002B2CF9AE}" pid="23" name="_dlc_DocIdUrl">
    <vt:lpwstr>https://ericsson.sharepoint.com/sites/star/_layouts/15/DocIdRedir.aspx?ID=5NUHHDQN7SK2-1476151046-427149, 5NUHHDQN7SK2-1476151046-427149</vt:lpwstr>
  </property>
</Properties>
</file>